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8473D" w14:textId="77777777" w:rsidR="000B040F" w:rsidRPr="00556D79" w:rsidRDefault="000B040F" w:rsidP="000B040F">
      <w:pPr>
        <w:spacing w:after="0" w:line="240" w:lineRule="auto"/>
        <w:rPr>
          <w:rFonts w:ascii="Times" w:hAnsi="Times"/>
          <w:szCs w:val="20"/>
          <w:lang w:val="en-US"/>
        </w:rPr>
      </w:pPr>
    </w:p>
    <w:p w14:paraId="7E518F60" w14:textId="77777777" w:rsidR="000B040F" w:rsidRPr="00556D79" w:rsidRDefault="000B040F" w:rsidP="000B040F">
      <w:pPr>
        <w:spacing w:after="0" w:line="240" w:lineRule="auto"/>
        <w:rPr>
          <w:rFonts w:ascii="Times" w:hAnsi="Times"/>
          <w:szCs w:val="20"/>
          <w:lang w:val="en-US"/>
        </w:rPr>
      </w:pPr>
    </w:p>
    <w:p w14:paraId="19F65A21" w14:textId="77777777" w:rsidR="000B040F" w:rsidRPr="00556D79" w:rsidRDefault="000B040F" w:rsidP="000B040F">
      <w:pPr>
        <w:spacing w:after="0" w:line="240" w:lineRule="auto"/>
        <w:rPr>
          <w:rFonts w:ascii="Times" w:hAnsi="Times"/>
          <w:szCs w:val="20"/>
          <w:lang w:val="en-US"/>
        </w:rPr>
      </w:pPr>
    </w:p>
    <w:p w14:paraId="1AEC5392" w14:textId="77777777" w:rsidR="000B040F" w:rsidRPr="00556D79" w:rsidRDefault="000B040F" w:rsidP="000B040F">
      <w:pPr>
        <w:spacing w:after="0" w:line="240" w:lineRule="auto"/>
        <w:rPr>
          <w:rFonts w:ascii="Times" w:hAnsi="Times"/>
          <w:szCs w:val="20"/>
          <w:lang w:val="en-US"/>
        </w:rPr>
      </w:pPr>
    </w:p>
    <w:p w14:paraId="774EC8A0" w14:textId="77777777" w:rsidR="000B040F" w:rsidRPr="00556D79" w:rsidRDefault="000B040F" w:rsidP="000B040F">
      <w:pPr>
        <w:spacing w:after="0" w:line="240" w:lineRule="auto"/>
        <w:rPr>
          <w:rFonts w:ascii="Times" w:hAnsi="Times"/>
          <w:szCs w:val="20"/>
          <w:lang w:val="en-US"/>
        </w:rPr>
      </w:pPr>
    </w:p>
    <w:p w14:paraId="247391FF" w14:textId="77777777" w:rsidR="000B040F" w:rsidRPr="00556D79" w:rsidRDefault="000B040F" w:rsidP="000B040F">
      <w:pPr>
        <w:spacing w:after="0" w:line="240" w:lineRule="auto"/>
        <w:rPr>
          <w:rFonts w:ascii="Times" w:hAnsi="Times"/>
          <w:szCs w:val="20"/>
          <w:lang w:val="en-US"/>
        </w:rPr>
      </w:pPr>
    </w:p>
    <w:p w14:paraId="00B49E76" w14:textId="77777777" w:rsidR="000B040F" w:rsidRPr="00556D79" w:rsidRDefault="000B040F" w:rsidP="000B040F">
      <w:pPr>
        <w:spacing w:after="0" w:line="240" w:lineRule="auto"/>
        <w:rPr>
          <w:rFonts w:ascii="Times" w:hAnsi="Times"/>
          <w:szCs w:val="20"/>
          <w:lang w:val="en-US"/>
        </w:rPr>
      </w:pPr>
    </w:p>
    <w:p w14:paraId="2C2FB889" w14:textId="77777777" w:rsidR="000B040F" w:rsidRPr="00556D79" w:rsidRDefault="000B040F" w:rsidP="000B040F">
      <w:pPr>
        <w:spacing w:after="0" w:line="240" w:lineRule="auto"/>
        <w:rPr>
          <w:rFonts w:ascii="Times" w:hAnsi="Times"/>
          <w:szCs w:val="20"/>
          <w:lang w:val="en-US"/>
        </w:rPr>
      </w:pPr>
    </w:p>
    <w:p w14:paraId="3DC724EE" w14:textId="77777777" w:rsidR="000B040F" w:rsidRPr="00556D79" w:rsidRDefault="000B040F" w:rsidP="000B040F">
      <w:pPr>
        <w:spacing w:after="0" w:line="240" w:lineRule="auto"/>
        <w:rPr>
          <w:rFonts w:ascii="Times" w:hAnsi="Times"/>
          <w:szCs w:val="20"/>
          <w:lang w:val="en-US"/>
        </w:rPr>
      </w:pPr>
    </w:p>
    <w:p w14:paraId="1BE0968B" w14:textId="77777777" w:rsidR="000B040F" w:rsidRPr="00556D79" w:rsidRDefault="000B040F" w:rsidP="000B040F">
      <w:pPr>
        <w:spacing w:after="0" w:line="240" w:lineRule="auto"/>
        <w:rPr>
          <w:rFonts w:ascii="Times" w:hAnsi="Times"/>
          <w:szCs w:val="20"/>
          <w:lang w:val="en-US"/>
        </w:rPr>
      </w:pPr>
    </w:p>
    <w:p w14:paraId="11FC06A6" w14:textId="77777777" w:rsidR="000B040F" w:rsidRPr="00556D79" w:rsidRDefault="000B040F" w:rsidP="000B040F">
      <w:pPr>
        <w:spacing w:after="0" w:line="240" w:lineRule="auto"/>
        <w:rPr>
          <w:rFonts w:ascii="Times" w:hAnsi="Times"/>
          <w:szCs w:val="20"/>
          <w:lang w:val="en-US"/>
        </w:rPr>
      </w:pPr>
    </w:p>
    <w:p w14:paraId="0C97D1F8" w14:textId="77777777" w:rsidR="000B040F" w:rsidRPr="00556D79" w:rsidRDefault="000B040F" w:rsidP="000B040F">
      <w:pPr>
        <w:spacing w:after="0" w:line="240" w:lineRule="auto"/>
        <w:rPr>
          <w:rFonts w:ascii="Times" w:hAnsi="Times"/>
          <w:szCs w:val="20"/>
          <w:lang w:val="en-US"/>
        </w:rPr>
      </w:pPr>
    </w:p>
    <w:p w14:paraId="375ECB65" w14:textId="77777777" w:rsidR="000B040F" w:rsidRPr="00556D79" w:rsidRDefault="000B040F" w:rsidP="000B040F">
      <w:pPr>
        <w:spacing w:after="0" w:line="240" w:lineRule="auto"/>
        <w:jc w:val="center"/>
        <w:rPr>
          <w:rFonts w:ascii="Times" w:hAnsi="Times"/>
          <w:szCs w:val="20"/>
          <w:lang w:val="en-CA"/>
        </w:rPr>
      </w:pPr>
      <w:r w:rsidRPr="00556D79">
        <w:rPr>
          <w:rFonts w:ascii="Times" w:hAnsi="Times"/>
          <w:szCs w:val="20"/>
          <w:lang w:val="en-CA"/>
        </w:rPr>
        <w:t>ADVANCED UNDERGRADUATE LABORATORY</w:t>
      </w:r>
    </w:p>
    <w:p w14:paraId="4AADB34A" w14:textId="77777777" w:rsidR="000B040F" w:rsidRPr="00556D79" w:rsidRDefault="000B040F" w:rsidP="000B040F">
      <w:pPr>
        <w:spacing w:after="0" w:line="240" w:lineRule="auto"/>
        <w:jc w:val="center"/>
        <w:rPr>
          <w:rFonts w:ascii="Times" w:hAnsi="Times"/>
          <w:szCs w:val="20"/>
          <w:lang w:val="en-CA"/>
        </w:rPr>
      </w:pPr>
    </w:p>
    <w:p w14:paraId="04C3F04F" w14:textId="77777777" w:rsidR="000B040F" w:rsidRPr="00556D79" w:rsidRDefault="000B040F" w:rsidP="000B040F">
      <w:pPr>
        <w:spacing w:after="0" w:line="240" w:lineRule="auto"/>
        <w:jc w:val="center"/>
        <w:rPr>
          <w:rFonts w:ascii="Times" w:hAnsi="Times"/>
          <w:b/>
          <w:sz w:val="32"/>
          <w:szCs w:val="32"/>
          <w:lang w:val="en-CA"/>
        </w:rPr>
      </w:pPr>
      <w:r w:rsidRPr="00556D79">
        <w:rPr>
          <w:rFonts w:ascii="Times" w:hAnsi="Times"/>
          <w:b/>
          <w:sz w:val="32"/>
          <w:szCs w:val="32"/>
          <w:lang w:val="en-CA"/>
        </w:rPr>
        <w:t>HALL</w:t>
      </w:r>
    </w:p>
    <w:p w14:paraId="6BE6B2AE" w14:textId="77777777" w:rsidR="000B040F" w:rsidRPr="00556D79" w:rsidRDefault="000B040F" w:rsidP="000B040F">
      <w:pPr>
        <w:spacing w:after="0" w:line="240" w:lineRule="auto"/>
        <w:jc w:val="center"/>
        <w:rPr>
          <w:rFonts w:ascii="Times" w:hAnsi="Times"/>
          <w:szCs w:val="20"/>
          <w:lang w:val="en-CA"/>
        </w:rPr>
      </w:pPr>
    </w:p>
    <w:p w14:paraId="0C61AEF5" w14:textId="77777777" w:rsidR="000B040F" w:rsidRPr="00556D79" w:rsidRDefault="000B040F" w:rsidP="000B040F">
      <w:pPr>
        <w:spacing w:after="0" w:line="240" w:lineRule="auto"/>
        <w:jc w:val="center"/>
        <w:rPr>
          <w:rFonts w:ascii="Times" w:hAnsi="Times"/>
          <w:b/>
          <w:sz w:val="32"/>
          <w:szCs w:val="32"/>
          <w:lang w:val="en-CA"/>
        </w:rPr>
      </w:pPr>
      <w:r w:rsidRPr="00556D79">
        <w:rPr>
          <w:rFonts w:ascii="Times" w:hAnsi="Times"/>
          <w:b/>
          <w:sz w:val="32"/>
          <w:szCs w:val="32"/>
          <w:lang w:val="en-CA"/>
        </w:rPr>
        <w:t>Semiconductor Resistance,</w:t>
      </w:r>
    </w:p>
    <w:p w14:paraId="1A81964B" w14:textId="77777777" w:rsidR="000B040F" w:rsidRPr="00556D79" w:rsidRDefault="000B040F" w:rsidP="000B040F">
      <w:pPr>
        <w:spacing w:after="0" w:line="240" w:lineRule="auto"/>
        <w:jc w:val="center"/>
        <w:rPr>
          <w:rFonts w:ascii="Times" w:hAnsi="Times"/>
          <w:b/>
          <w:sz w:val="32"/>
          <w:szCs w:val="32"/>
          <w:lang w:val="en-CA"/>
        </w:rPr>
      </w:pPr>
      <w:r w:rsidRPr="00556D79">
        <w:rPr>
          <w:rFonts w:ascii="Times" w:hAnsi="Times"/>
          <w:b/>
          <w:sz w:val="32"/>
          <w:szCs w:val="32"/>
          <w:lang w:val="en-CA"/>
        </w:rPr>
        <w:t>Band Gap, and Hall Effect</w:t>
      </w:r>
    </w:p>
    <w:p w14:paraId="786F71F1" w14:textId="77777777" w:rsidR="000B040F" w:rsidRPr="00556D79" w:rsidRDefault="000B040F" w:rsidP="000B040F">
      <w:pPr>
        <w:spacing w:after="0" w:line="240" w:lineRule="auto"/>
        <w:rPr>
          <w:rFonts w:ascii="Times" w:hAnsi="Times"/>
          <w:szCs w:val="20"/>
          <w:lang w:val="en-CA"/>
        </w:rPr>
      </w:pPr>
    </w:p>
    <w:p w14:paraId="66731B51" w14:textId="77777777" w:rsidR="000B040F" w:rsidRPr="00556D79" w:rsidRDefault="000B040F" w:rsidP="000B040F">
      <w:pPr>
        <w:spacing w:after="0" w:line="240" w:lineRule="auto"/>
        <w:rPr>
          <w:rFonts w:ascii="Times" w:hAnsi="Times"/>
          <w:szCs w:val="20"/>
          <w:lang w:val="en-CA"/>
        </w:rPr>
      </w:pPr>
    </w:p>
    <w:p w14:paraId="68EBDA80" w14:textId="77777777" w:rsidR="000B040F" w:rsidRPr="00556D79" w:rsidRDefault="000B040F" w:rsidP="000B040F">
      <w:pPr>
        <w:spacing w:after="0" w:line="240" w:lineRule="auto"/>
        <w:rPr>
          <w:rFonts w:ascii="Times" w:hAnsi="Times"/>
          <w:szCs w:val="20"/>
          <w:lang w:val="en-CA"/>
        </w:rPr>
      </w:pPr>
    </w:p>
    <w:p w14:paraId="3B2A45CE" w14:textId="77777777" w:rsidR="000B040F" w:rsidRPr="00556D79" w:rsidRDefault="000B040F" w:rsidP="000B040F">
      <w:pPr>
        <w:spacing w:after="0" w:line="240" w:lineRule="auto"/>
        <w:rPr>
          <w:rFonts w:ascii="Times" w:hAnsi="Times"/>
          <w:szCs w:val="20"/>
          <w:lang w:val="en-CA"/>
        </w:rPr>
      </w:pPr>
    </w:p>
    <w:p w14:paraId="5FC4B97D" w14:textId="77777777" w:rsidR="000B040F" w:rsidRPr="00556D79" w:rsidRDefault="000B040F" w:rsidP="000B040F">
      <w:pPr>
        <w:spacing w:after="0" w:line="240" w:lineRule="auto"/>
        <w:rPr>
          <w:rFonts w:ascii="Times" w:hAnsi="Times"/>
          <w:szCs w:val="20"/>
          <w:lang w:val="en-CA"/>
        </w:rPr>
      </w:pPr>
    </w:p>
    <w:p w14:paraId="190CDF75" w14:textId="77777777" w:rsidR="000B040F" w:rsidRPr="00556D79" w:rsidRDefault="000B040F" w:rsidP="000B040F">
      <w:pPr>
        <w:spacing w:after="0" w:line="240" w:lineRule="auto"/>
        <w:rPr>
          <w:rFonts w:ascii="Times" w:hAnsi="Times"/>
          <w:szCs w:val="20"/>
          <w:lang w:val="en-CA"/>
        </w:rPr>
      </w:pPr>
    </w:p>
    <w:p w14:paraId="1DE54653" w14:textId="77777777" w:rsidR="000B040F" w:rsidRPr="00556D79" w:rsidRDefault="000B040F" w:rsidP="000B040F">
      <w:pPr>
        <w:spacing w:after="0" w:line="240" w:lineRule="auto"/>
        <w:rPr>
          <w:rFonts w:ascii="Times" w:hAnsi="Times"/>
          <w:szCs w:val="20"/>
          <w:lang w:val="en-CA"/>
        </w:rPr>
      </w:pPr>
    </w:p>
    <w:p w14:paraId="7FC7A82E" w14:textId="77777777" w:rsidR="000B040F" w:rsidRPr="00556D79" w:rsidRDefault="000B040F" w:rsidP="000B040F">
      <w:pPr>
        <w:spacing w:after="0" w:line="240" w:lineRule="auto"/>
        <w:rPr>
          <w:rFonts w:ascii="Times" w:hAnsi="Times"/>
          <w:szCs w:val="20"/>
          <w:lang w:val="en-CA"/>
        </w:rPr>
      </w:pPr>
    </w:p>
    <w:p w14:paraId="298BD83C" w14:textId="77777777" w:rsidR="000B040F" w:rsidRPr="00556D79" w:rsidRDefault="000B040F" w:rsidP="000B040F">
      <w:pPr>
        <w:spacing w:after="0" w:line="240" w:lineRule="auto"/>
        <w:rPr>
          <w:rFonts w:ascii="Times" w:hAnsi="Times"/>
          <w:szCs w:val="20"/>
          <w:lang w:val="en-CA"/>
        </w:rPr>
      </w:pPr>
    </w:p>
    <w:p w14:paraId="74F34272" w14:textId="77777777" w:rsidR="000B040F" w:rsidRPr="00556D79" w:rsidRDefault="000B040F" w:rsidP="000B040F">
      <w:pPr>
        <w:spacing w:after="0" w:line="240" w:lineRule="auto"/>
        <w:rPr>
          <w:rFonts w:ascii="Times" w:hAnsi="Times"/>
          <w:szCs w:val="20"/>
          <w:lang w:val="en-CA"/>
        </w:rPr>
      </w:pPr>
    </w:p>
    <w:p w14:paraId="334908A6" w14:textId="77777777" w:rsidR="000B040F" w:rsidRPr="00556D79" w:rsidRDefault="000B040F" w:rsidP="000B040F">
      <w:pPr>
        <w:spacing w:after="0" w:line="240" w:lineRule="auto"/>
        <w:rPr>
          <w:rFonts w:ascii="Times" w:hAnsi="Times"/>
          <w:szCs w:val="20"/>
          <w:lang w:val="en-CA"/>
        </w:rPr>
      </w:pPr>
    </w:p>
    <w:p w14:paraId="13DD9E40" w14:textId="77777777" w:rsidR="000B040F" w:rsidRPr="00556D79" w:rsidRDefault="000B040F" w:rsidP="000B040F">
      <w:pPr>
        <w:spacing w:after="0" w:line="240" w:lineRule="auto"/>
        <w:rPr>
          <w:rFonts w:ascii="Times" w:hAnsi="Times"/>
          <w:szCs w:val="20"/>
          <w:lang w:val="en-CA"/>
        </w:rPr>
      </w:pPr>
    </w:p>
    <w:p w14:paraId="380CBDD7" w14:textId="77777777" w:rsidR="000B040F" w:rsidRPr="00556D79" w:rsidRDefault="000B040F" w:rsidP="000B040F">
      <w:pPr>
        <w:spacing w:after="0" w:line="240" w:lineRule="auto"/>
        <w:rPr>
          <w:rFonts w:ascii="Times" w:hAnsi="Times"/>
          <w:szCs w:val="20"/>
          <w:lang w:val="en-CA"/>
        </w:rPr>
      </w:pPr>
    </w:p>
    <w:p w14:paraId="5BDBAA9C" w14:textId="77777777" w:rsidR="000B040F" w:rsidRPr="003C110E" w:rsidRDefault="000B040F" w:rsidP="00C60C1D">
      <w:pPr>
        <w:tabs>
          <w:tab w:val="left" w:pos="6120"/>
        </w:tabs>
        <w:ind w:left="5103" w:hanging="567"/>
        <w:rPr>
          <w:rFonts w:ascii="Times" w:hAnsi="Times"/>
        </w:rPr>
      </w:pPr>
      <w:r w:rsidRPr="003C110E">
        <w:rPr>
          <w:rFonts w:ascii="Times" w:hAnsi="Times"/>
        </w:rPr>
        <w:t>Revisions:</w:t>
      </w:r>
      <w:r w:rsidR="00372535">
        <w:br/>
      </w:r>
      <w:r w:rsidR="00C60C1D">
        <w:rPr>
          <w:rFonts w:ascii="Times" w:hAnsi="Times"/>
        </w:rPr>
        <w:t>September 2016</w:t>
      </w:r>
      <w:r w:rsidR="00F249DC">
        <w:rPr>
          <w:rFonts w:ascii="Times" w:hAnsi="Times"/>
        </w:rPr>
        <w:t>, January 2018</w:t>
      </w:r>
      <w:r w:rsidR="00C60C1D">
        <w:rPr>
          <w:rFonts w:ascii="Times" w:hAnsi="Times"/>
        </w:rPr>
        <w:t>: Young-June Kim</w:t>
      </w:r>
      <w:r w:rsidR="00C60C1D">
        <w:rPr>
          <w:rFonts w:ascii="Times" w:hAnsi="Times"/>
        </w:rPr>
        <w:br/>
      </w:r>
      <w:r w:rsidRPr="003C110E">
        <w:rPr>
          <w:rFonts w:ascii="Times" w:hAnsi="Times"/>
        </w:rPr>
        <w:t>November 2011</w:t>
      </w:r>
      <w:r w:rsidR="00372535">
        <w:rPr>
          <w:rFonts w:ascii="Times" w:hAnsi="Times"/>
        </w:rPr>
        <w:t>, January 2016</w:t>
      </w:r>
      <w:r w:rsidRPr="003C110E">
        <w:rPr>
          <w:rFonts w:ascii="Times" w:hAnsi="Times"/>
        </w:rPr>
        <w:t>: David Bailey</w:t>
      </w:r>
      <w:r w:rsidRPr="003C110E">
        <w:rPr>
          <w:rFonts w:ascii="Times" w:hAnsi="Times"/>
        </w:rPr>
        <w:br/>
        <w:t xml:space="preserve">October 2010: Henry van </w:t>
      </w:r>
      <w:proofErr w:type="spellStart"/>
      <w:r w:rsidRPr="003C110E">
        <w:rPr>
          <w:rFonts w:ascii="Times" w:hAnsi="Times"/>
        </w:rPr>
        <w:t>Driel</w:t>
      </w:r>
      <w:proofErr w:type="spellEnd"/>
      <w:r w:rsidRPr="003C110E">
        <w:rPr>
          <w:rFonts w:ascii="Times" w:hAnsi="Times"/>
        </w:rPr>
        <w:br/>
        <w:t>February 2006: Jason Harlow</w:t>
      </w:r>
      <w:r w:rsidRPr="003C110E">
        <w:rPr>
          <w:rFonts w:ascii="Times" w:hAnsi="Times"/>
        </w:rPr>
        <w:br/>
        <w:t>November 1996: David Bailey</w:t>
      </w:r>
      <w:r w:rsidRPr="003C110E">
        <w:rPr>
          <w:rFonts w:ascii="Times" w:hAnsi="Times"/>
        </w:rPr>
        <w:br/>
        <w:t xml:space="preserve">March 1990: John </w:t>
      </w:r>
      <w:proofErr w:type="spellStart"/>
      <w:r w:rsidRPr="003C110E">
        <w:rPr>
          <w:rFonts w:ascii="Times" w:hAnsi="Times"/>
        </w:rPr>
        <w:t>Pitre</w:t>
      </w:r>
      <w:proofErr w:type="spellEnd"/>
      <w:r w:rsidRPr="003C110E">
        <w:rPr>
          <w:rFonts w:ascii="Times" w:hAnsi="Times"/>
        </w:rPr>
        <w:t xml:space="preserve"> &amp; </w:t>
      </w:r>
      <w:proofErr w:type="spellStart"/>
      <w:r w:rsidRPr="003C110E">
        <w:rPr>
          <w:rFonts w:ascii="Times" w:hAnsi="Times"/>
        </w:rPr>
        <w:t>Taek</w:t>
      </w:r>
      <w:proofErr w:type="spellEnd"/>
      <w:r w:rsidRPr="003C110E">
        <w:rPr>
          <w:rFonts w:ascii="Times" w:hAnsi="Times"/>
        </w:rPr>
        <w:t>-Soon Yoon</w:t>
      </w:r>
    </w:p>
    <w:p w14:paraId="152D03C8" w14:textId="77777777" w:rsidR="000B040F" w:rsidRPr="003C110E" w:rsidRDefault="000B040F" w:rsidP="000B040F">
      <w:pPr>
        <w:tabs>
          <w:tab w:val="left" w:pos="3686"/>
          <w:tab w:val="left" w:pos="4962"/>
        </w:tabs>
        <w:spacing w:line="480" w:lineRule="atLeast"/>
        <w:rPr>
          <w:rFonts w:ascii="Times" w:hAnsi="Times"/>
        </w:rPr>
      </w:pPr>
    </w:p>
    <w:p w14:paraId="7AF6D2B7" w14:textId="77777777" w:rsidR="000B040F" w:rsidRPr="003C110E" w:rsidRDefault="000B040F" w:rsidP="000B040F">
      <w:pPr>
        <w:tabs>
          <w:tab w:val="left" w:pos="3686"/>
          <w:tab w:val="left" w:pos="4962"/>
        </w:tabs>
        <w:spacing w:line="480" w:lineRule="atLeast"/>
        <w:rPr>
          <w:rFonts w:ascii="Times" w:hAnsi="Times"/>
        </w:rPr>
      </w:pPr>
    </w:p>
    <w:p w14:paraId="69FEA61F" w14:textId="77777777" w:rsidR="000B040F" w:rsidRPr="003C110E" w:rsidRDefault="000B040F" w:rsidP="000B040F">
      <w:pPr>
        <w:spacing w:line="240" w:lineRule="atLeast"/>
        <w:ind w:left="3969"/>
        <w:rPr>
          <w:rFonts w:ascii="Times" w:hAnsi="Times"/>
          <w:sz w:val="20"/>
        </w:rPr>
      </w:pPr>
      <w:r w:rsidRPr="003C110E">
        <w:rPr>
          <w:rFonts w:ascii="Times" w:hAnsi="Times"/>
          <w:sz w:val="20"/>
        </w:rPr>
        <w:t>Copyright © 2011</w:t>
      </w:r>
      <w:r w:rsidR="00F249DC">
        <w:rPr>
          <w:rFonts w:ascii="Times" w:hAnsi="Times"/>
          <w:sz w:val="20"/>
        </w:rPr>
        <w:t>-2018</w:t>
      </w:r>
      <w:r w:rsidRPr="003C110E">
        <w:rPr>
          <w:rFonts w:ascii="Times" w:hAnsi="Times"/>
          <w:sz w:val="20"/>
        </w:rPr>
        <w:t xml:space="preserve"> University of Toronto</w:t>
      </w:r>
      <w:r w:rsidRPr="003C110E">
        <w:rPr>
          <w:rFonts w:ascii="Times" w:hAnsi="Times"/>
          <w:sz w:val="20"/>
        </w:rPr>
        <w:br/>
        <w:t>This work is licensed under the Creative Commons</w:t>
      </w:r>
      <w:r w:rsidRPr="003C110E">
        <w:rPr>
          <w:rFonts w:ascii="Times" w:hAnsi="Times"/>
          <w:sz w:val="20"/>
        </w:rPr>
        <w:br/>
        <w:t>Attribution-</w:t>
      </w:r>
      <w:proofErr w:type="spellStart"/>
      <w:r w:rsidRPr="003C110E">
        <w:rPr>
          <w:rFonts w:ascii="Times" w:hAnsi="Times"/>
          <w:sz w:val="20"/>
        </w:rPr>
        <w:t>NonCommercial</w:t>
      </w:r>
      <w:proofErr w:type="spellEnd"/>
      <w:r w:rsidRPr="003C110E">
        <w:rPr>
          <w:rFonts w:ascii="Times" w:hAnsi="Times"/>
          <w:sz w:val="20"/>
        </w:rPr>
        <w:t>-</w:t>
      </w:r>
      <w:proofErr w:type="spellStart"/>
      <w:r w:rsidRPr="003C110E">
        <w:rPr>
          <w:rFonts w:ascii="Times" w:hAnsi="Times"/>
          <w:sz w:val="20"/>
        </w:rPr>
        <w:t>ShareAlike</w:t>
      </w:r>
      <w:proofErr w:type="spellEnd"/>
      <w:r w:rsidRPr="003C110E">
        <w:rPr>
          <w:rFonts w:ascii="Times" w:hAnsi="Times"/>
          <w:sz w:val="20"/>
        </w:rPr>
        <w:t xml:space="preserve"> 3.0 </w:t>
      </w:r>
      <w:proofErr w:type="spellStart"/>
      <w:r w:rsidRPr="003C110E">
        <w:rPr>
          <w:rFonts w:ascii="Times" w:hAnsi="Times"/>
          <w:sz w:val="20"/>
        </w:rPr>
        <w:t>Unported</w:t>
      </w:r>
      <w:proofErr w:type="spellEnd"/>
      <w:r w:rsidRPr="003C110E">
        <w:rPr>
          <w:rFonts w:ascii="Times" w:hAnsi="Times"/>
          <w:sz w:val="20"/>
        </w:rPr>
        <w:t xml:space="preserve"> License.</w:t>
      </w:r>
      <w:r w:rsidRPr="003C110E">
        <w:rPr>
          <w:rFonts w:ascii="Times" w:hAnsi="Times"/>
          <w:sz w:val="20"/>
        </w:rPr>
        <w:br/>
        <w:t>(</w:t>
      </w:r>
      <w:hyperlink r:id="rId8" w:history="1">
        <w:r w:rsidRPr="003C110E">
          <w:rPr>
            <w:rStyle w:val="Hyperlink"/>
            <w:rFonts w:ascii="Times" w:hAnsi="Times"/>
            <w:sz w:val="20"/>
          </w:rPr>
          <w:t>http://creativecommons.org/licenses/by-nc-sa/3.0/</w:t>
        </w:r>
      </w:hyperlink>
      <w:r w:rsidRPr="003C110E">
        <w:rPr>
          <w:rFonts w:ascii="Times" w:hAnsi="Times"/>
          <w:sz w:val="20"/>
        </w:rPr>
        <w:t xml:space="preserve">) </w:t>
      </w:r>
      <w:r w:rsidR="00C6066B" w:rsidRPr="003C110E">
        <w:rPr>
          <w:noProof/>
          <w:position w:val="-12"/>
          <w:lang w:val="en-US"/>
        </w:rPr>
        <w:drawing>
          <wp:inline distT="0" distB="0" distL="0" distR="0" wp14:anchorId="04CB390F" wp14:editId="0358AE4C">
            <wp:extent cx="713740" cy="254000"/>
            <wp:effectExtent l="0" t="0" r="0" b="0"/>
            <wp:docPr id="1" name="Pictur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740" cy="254000"/>
                    </a:xfrm>
                    <a:prstGeom prst="rect">
                      <a:avLst/>
                    </a:prstGeom>
                    <a:noFill/>
                    <a:ln>
                      <a:noFill/>
                    </a:ln>
                  </pic:spPr>
                </pic:pic>
              </a:graphicData>
            </a:graphic>
          </wp:inline>
        </w:drawing>
      </w:r>
    </w:p>
    <w:p w14:paraId="6937E5FA" w14:textId="77777777" w:rsidR="000B040F" w:rsidRPr="003C110E" w:rsidRDefault="000B040F" w:rsidP="000B040F">
      <w:pPr>
        <w:pStyle w:val="Heading4"/>
        <w:rPr>
          <w:szCs w:val="24"/>
        </w:rPr>
      </w:pPr>
      <w:r w:rsidRPr="003C110E">
        <w:rPr>
          <w:rFonts w:ascii="Times" w:hAnsi="Times"/>
        </w:rPr>
        <w:br w:type="page"/>
      </w:r>
      <w:r w:rsidRPr="003C110E">
        <w:rPr>
          <w:szCs w:val="24"/>
        </w:rPr>
        <w:lastRenderedPageBreak/>
        <w:t>Introduction</w:t>
      </w:r>
    </w:p>
    <w:p w14:paraId="207E852F" w14:textId="77777777" w:rsidR="009E6E8B" w:rsidRDefault="000B040F" w:rsidP="003C110E">
      <w:pPr>
        <w:pStyle w:val="NormalHanging"/>
      </w:pPr>
      <w:r w:rsidRPr="003C110E">
        <w:t>Solid materials are usually classified as metals or insulators</w:t>
      </w:r>
      <w:r w:rsidR="00C60C1D">
        <w:t xml:space="preserve">, depending on their </w:t>
      </w:r>
      <w:proofErr w:type="gramStart"/>
      <w:r w:rsidR="00C60C1D">
        <w:t>electrical  conducting</w:t>
      </w:r>
      <w:proofErr w:type="gramEnd"/>
      <w:r w:rsidR="00C60C1D">
        <w:t xml:space="preserve"> properties</w:t>
      </w:r>
      <w:r w:rsidRPr="003C110E">
        <w:t xml:space="preserve">. </w:t>
      </w:r>
      <w:r w:rsidR="00C60C1D">
        <w:t xml:space="preserve">Although there are numerous physical properties that distinguish metals from insulators, </w:t>
      </w:r>
      <w:r w:rsidRPr="003C110E">
        <w:t xml:space="preserve">the critical </w:t>
      </w:r>
      <w:r w:rsidR="00C60C1D">
        <w:t xml:space="preserve">difference between a metal and an insulator is the existence of band gap in the latter. </w:t>
      </w:r>
      <w:r w:rsidR="00C60C1D" w:rsidRPr="00867315">
        <w:t xml:space="preserve">The allowed energies of electrons inside solid materials are quantum mechanically restricted to certain ranges known as energy bands.  </w:t>
      </w:r>
      <w:r w:rsidR="00C60C1D">
        <w:t xml:space="preserve">For </w:t>
      </w:r>
      <w:proofErr w:type="gramStart"/>
      <w:r w:rsidR="00C60C1D">
        <w:t>insulators</w:t>
      </w:r>
      <w:proofErr w:type="gramEnd"/>
      <w:r w:rsidR="00C60C1D">
        <w:t xml:space="preserve"> the lower energy bands </w:t>
      </w:r>
      <w:r w:rsidR="00C60C1D" w:rsidRPr="00867315">
        <w:t xml:space="preserve">are completely filled </w:t>
      </w:r>
      <w:r w:rsidR="00C60C1D">
        <w:t xml:space="preserve">at absolute zero temperature and are known as </w:t>
      </w:r>
      <w:r w:rsidR="00C60C1D" w:rsidRPr="00867315">
        <w:t>valence ban</w:t>
      </w:r>
      <w:r w:rsidR="00C60C1D">
        <w:t xml:space="preserve">ds; the first band that is normally empty </w:t>
      </w:r>
      <w:r w:rsidR="00C60C1D" w:rsidRPr="00867315">
        <w:t>is known as the conduction band.  The difference in energy between the top of the valence band and the bottom of the conduction band is known as the energy gap</w:t>
      </w:r>
      <w:r w:rsidR="005A14D5">
        <w:t xml:space="preserve"> or band gap</w:t>
      </w:r>
      <w:r w:rsidR="00C60C1D" w:rsidRPr="00867315">
        <w:t>.</w:t>
      </w:r>
      <w:r w:rsidR="00C60C1D">
        <w:t xml:space="preserve"> </w:t>
      </w:r>
      <w:r w:rsidR="00C60C1D" w:rsidRPr="00867315">
        <w:t>Materi</w:t>
      </w:r>
      <w:r w:rsidR="00C60C1D">
        <w:t>als in which an</w:t>
      </w:r>
      <w:r w:rsidR="00C60C1D" w:rsidRPr="00867315">
        <w:t xml:space="preserve"> energy band is always pa</w:t>
      </w:r>
      <w:r w:rsidR="00C60C1D">
        <w:t>rtially filled are metals, with</w:t>
      </w:r>
      <w:r w:rsidR="00C60C1D" w:rsidRPr="00867315">
        <w:t xml:space="preserve"> the </w:t>
      </w:r>
      <w:r w:rsidR="00C60C1D">
        <w:t>partially filled bands allowing</w:t>
      </w:r>
      <w:r w:rsidR="00C60C1D" w:rsidRPr="00867315">
        <w:t xml:space="preserve"> electrons to move freely</w:t>
      </w:r>
      <w:r w:rsidR="00C60C1D">
        <w:t xml:space="preserve">. </w:t>
      </w:r>
      <w:r w:rsidR="005A14D5">
        <w:t>When the band gap of an insulator is relatively small (usually less than 2 eV), electrons can be thermally activated across the small band gap and participate in the conduction. This type of insulator that can be made to conduct electricity is technologically very important and is generally referred to as a semiconductor.</w:t>
      </w:r>
      <w:r w:rsidR="009E6E8B">
        <w:t xml:space="preserve"> </w:t>
      </w:r>
    </w:p>
    <w:p w14:paraId="30C81BFD" w14:textId="77777777" w:rsidR="009E6E8B" w:rsidRPr="003C110E" w:rsidRDefault="005A14D5" w:rsidP="009E6E8B">
      <w:pPr>
        <w:pStyle w:val="NormalHanging"/>
      </w:pPr>
      <w:r>
        <w:t xml:space="preserve">Charge carriers that are responsible for conduction in semiconducting materials can be generated in two ways. The first is the </w:t>
      </w:r>
      <w:r w:rsidR="000B040F">
        <w:t>thermal</w:t>
      </w:r>
      <w:r>
        <w:t xml:space="preserve"> </w:t>
      </w:r>
      <w:r w:rsidR="000B040F">
        <w:t>activat</w:t>
      </w:r>
      <w:r>
        <w:t xml:space="preserve">ion as described above, and the second is via doping. That is, free charge carriers can be “injected” into a semiconductor through chemical methods. </w:t>
      </w:r>
      <w:r w:rsidR="009E6E8B">
        <w:t xml:space="preserve">Semiconductors are called </w:t>
      </w:r>
      <w:r w:rsidR="009E6E8B" w:rsidRPr="009E6E8B">
        <w:rPr>
          <w:b/>
        </w:rPr>
        <w:t>intrinsic</w:t>
      </w:r>
      <w:r w:rsidR="009E6E8B">
        <w:t xml:space="preserve"> if the charge carriers are thermally activated, and </w:t>
      </w:r>
      <w:r w:rsidR="009E6E8B" w:rsidRPr="009E6E8B">
        <w:rPr>
          <w:b/>
        </w:rPr>
        <w:t>extrinsic</w:t>
      </w:r>
      <w:r w:rsidR="009E6E8B">
        <w:t xml:space="preserve"> if the charge carriers are doped into the material. </w:t>
      </w:r>
      <w:r w:rsidR="009E6E8B" w:rsidRPr="00C6066B">
        <w:rPr>
          <w:u w:val="single"/>
        </w:rPr>
        <w:t xml:space="preserve">The goal of this experiment is to </w:t>
      </w:r>
      <w:r w:rsidR="00C6066B" w:rsidRPr="00C6066B">
        <w:rPr>
          <w:u w:val="single"/>
        </w:rPr>
        <w:t>determine</w:t>
      </w:r>
      <w:r w:rsidR="009E6E8B" w:rsidRPr="00C6066B">
        <w:rPr>
          <w:u w:val="single"/>
        </w:rPr>
        <w:t xml:space="preserve"> physical properties</w:t>
      </w:r>
      <w:r w:rsidR="00C6066B" w:rsidRPr="00C6066B">
        <w:rPr>
          <w:u w:val="single"/>
        </w:rPr>
        <w:t xml:space="preserve"> such as band gap, charge carrier density, and charge carrier mobility</w:t>
      </w:r>
      <w:r w:rsidR="009E6E8B" w:rsidRPr="00C6066B">
        <w:rPr>
          <w:u w:val="single"/>
        </w:rPr>
        <w:t xml:space="preserve"> of </w:t>
      </w:r>
      <w:r w:rsidR="00C6066B" w:rsidRPr="00C6066B">
        <w:rPr>
          <w:u w:val="single"/>
        </w:rPr>
        <w:t>germanium and silicon semiconductor samples by measuring electrical resistivity and Hall coefficient</w:t>
      </w:r>
      <w:r w:rsidR="009E6E8B" w:rsidRPr="00C6066B">
        <w:rPr>
          <w:u w:val="single"/>
        </w:rPr>
        <w:t>.</w:t>
      </w:r>
    </w:p>
    <w:p w14:paraId="07E6906E" w14:textId="77777777" w:rsidR="000B040F" w:rsidRPr="00867315" w:rsidRDefault="000B040F" w:rsidP="009E6E8B">
      <w:pPr>
        <w:pStyle w:val="NormalHanging"/>
      </w:pPr>
      <w:r w:rsidRPr="00867315">
        <w:t>The resistance of a semiconductor is normally several orders of magnitude higher than that of a metal, but it is the temperature dependence of the resista</w:t>
      </w:r>
      <w:r>
        <w:t>nce that distinguishes a metal from</w:t>
      </w:r>
      <w:r w:rsidRPr="00867315">
        <w:t xml:space="preserve"> a semiconductor.  The resistance of the </w:t>
      </w:r>
      <w:r w:rsidRPr="00495D57">
        <w:t>semiconductor</w:t>
      </w:r>
      <w:r>
        <w:t xml:space="preserve"> </w:t>
      </w:r>
      <w:r w:rsidRPr="00867315">
        <w:t>germanium (Ge)</w:t>
      </w:r>
      <w:r>
        <w:t xml:space="preserve"> near room temperature</w:t>
      </w:r>
      <w:r w:rsidRPr="00867315">
        <w:t xml:space="preserve"> </w:t>
      </w:r>
      <w:r w:rsidRPr="003C110E">
        <w:rPr>
          <w:b/>
        </w:rPr>
        <w:t>decreases</w:t>
      </w:r>
      <w:r w:rsidRPr="00867315">
        <w:t xml:space="preserve"> with increasing temperature, whereas in a </w:t>
      </w:r>
      <w:r w:rsidRPr="00495D57">
        <w:t>metal</w:t>
      </w:r>
      <w:r w:rsidRPr="00867315">
        <w:t xml:space="preserve"> the resistance</w:t>
      </w:r>
      <w:r>
        <w:t xml:space="preserve"> generally</w:t>
      </w:r>
      <w:r w:rsidRPr="00867315">
        <w:t xml:space="preserve"> </w:t>
      </w:r>
      <w:r w:rsidRPr="003C110E">
        <w:rPr>
          <w:b/>
        </w:rPr>
        <w:t>increases</w:t>
      </w:r>
      <w:r w:rsidRPr="00867315">
        <w:t xml:space="preserve"> with temperature. </w:t>
      </w:r>
      <w:r w:rsidR="009E6E8B">
        <w:t xml:space="preserve">This behaviour of temperature dependence of resistance can be understood by recognizing that </w:t>
      </w:r>
      <w:r w:rsidR="009E6E8B" w:rsidRPr="003C110E">
        <w:t xml:space="preserve">the conductivity of a semiconductor </w:t>
      </w:r>
      <w:r w:rsidR="009C18A7">
        <w:t xml:space="preserve">depends on </w:t>
      </w:r>
      <w:r w:rsidR="009E6E8B">
        <w:t xml:space="preserve">“how many” charge carriers </w:t>
      </w:r>
      <w:r w:rsidR="009C18A7">
        <w:t>are in the material, and on “how easy” it is to move them. The first quantity is described by</w:t>
      </w:r>
      <w:r w:rsidR="009E6E8B" w:rsidRPr="003C110E">
        <w:t xml:space="preserve"> the charge carrier dens</w:t>
      </w:r>
      <w:r w:rsidR="009E6E8B">
        <w:t xml:space="preserve">ities </w:t>
      </w:r>
      <w:r w:rsidR="009E6E8B" w:rsidRPr="003C110E">
        <w:t>and the</w:t>
      </w:r>
      <w:r w:rsidR="009C18A7">
        <w:t xml:space="preserve"> second quantity is described by the</w:t>
      </w:r>
      <w:r w:rsidR="009E6E8B" w:rsidRPr="003C110E">
        <w:t xml:space="preserve"> mobility of the charge carriers.</w:t>
      </w:r>
      <w:r w:rsidR="009C18A7">
        <w:t xml:space="preserve"> </w:t>
      </w:r>
      <w:r w:rsidRPr="00867315">
        <w:t xml:space="preserve">In a </w:t>
      </w:r>
      <w:proofErr w:type="gramStart"/>
      <w:r w:rsidRPr="00867315">
        <w:t>metal</w:t>
      </w:r>
      <w:proofErr w:type="gramEnd"/>
      <w:r w:rsidRPr="00867315">
        <w:t xml:space="preserve"> the number of carriers is fixed, and the increase in resistance of the metal is because of the</w:t>
      </w:r>
      <w:r w:rsidR="009C18A7">
        <w:t xml:space="preserve"> change in the mobility. As temperature is</w:t>
      </w:r>
      <w:r w:rsidRPr="00867315">
        <w:t xml:space="preserve"> increased</w:t>
      </w:r>
      <w:r w:rsidR="009C18A7">
        <w:t>, more</w:t>
      </w:r>
      <w:r w:rsidRPr="00867315">
        <w:t xml:space="preserve"> thermally excited lattice vibrations (</w:t>
      </w:r>
      <w:r w:rsidRPr="003C110E">
        <w:rPr>
          <w:b/>
        </w:rPr>
        <w:t>phonons</w:t>
      </w:r>
      <w:r w:rsidRPr="00867315">
        <w:t xml:space="preserve">) </w:t>
      </w:r>
      <w:r w:rsidR="009C18A7">
        <w:t>are created which impedes movement of free carriers</w:t>
      </w:r>
      <w:r w:rsidRPr="00867315">
        <w:t xml:space="preserve">. In a </w:t>
      </w:r>
      <w:proofErr w:type="gramStart"/>
      <w:r w:rsidRPr="00867315">
        <w:t>semiconductor</w:t>
      </w:r>
      <w:proofErr w:type="gramEnd"/>
      <w:r w:rsidRPr="00867315">
        <w:t xml:space="preserve"> the increase in scattering is </w:t>
      </w:r>
      <w:r>
        <w:t xml:space="preserve">usually </w:t>
      </w:r>
      <w:r w:rsidRPr="00867315">
        <w:t>overwhelmed by the exponential increase in the number of carriers, as a result of thermal excitation across the energy gap. The temperature</w:t>
      </w:r>
      <w:r>
        <w:t xml:space="preserve"> dependence of the resistance can be</w:t>
      </w:r>
      <w:r w:rsidRPr="00867315">
        <w:t xml:space="preserve"> used to determine the band gap</w:t>
      </w:r>
      <w:r w:rsidR="009C18A7">
        <w:t xml:space="preserve"> of a semiconductor</w:t>
      </w:r>
      <w:r w:rsidRPr="00867315">
        <w:t>.</w:t>
      </w:r>
    </w:p>
    <w:p w14:paraId="333F856F" w14:textId="77777777" w:rsidR="000B040F" w:rsidRPr="00867315" w:rsidRDefault="000B040F" w:rsidP="003C110E">
      <w:pPr>
        <w:pStyle w:val="NormalHanging"/>
      </w:pPr>
      <w:r w:rsidRPr="00867315">
        <w:t>The Hall voltage is the voltage transverse to both magnetic field and current.  It appears when a magnetic field transverse to the direction of current flow is applied.</w:t>
      </w:r>
      <w:r>
        <w:t xml:space="preserve">  </w:t>
      </w:r>
      <w:r w:rsidRPr="00867315">
        <w:t>The sign of the Hall voltage determines whether the dominant carriers in the semicondu</w:t>
      </w:r>
      <w:r>
        <w:t>ctor are electrons or holes;</w:t>
      </w:r>
      <w:r w:rsidRPr="00867315">
        <w:t xml:space="preserve"> its magnitude is a measure of the carrier concentration. </w:t>
      </w:r>
      <w:r w:rsidR="009C18A7">
        <w:t>Since the carrier density can be independently determined from Hall measurement, one can extract the mobility of the charge carrier in a semiconductor from combined Hall and resistivity measurement.</w:t>
      </w:r>
    </w:p>
    <w:p w14:paraId="26EEB304" w14:textId="77777777" w:rsidR="000B040F" w:rsidRPr="003C110E" w:rsidRDefault="000B040F" w:rsidP="000B040F">
      <w:pPr>
        <w:pStyle w:val="Heading4"/>
        <w:rPr>
          <w:szCs w:val="24"/>
        </w:rPr>
      </w:pPr>
      <w:r w:rsidRPr="003C110E">
        <w:rPr>
          <w:szCs w:val="24"/>
        </w:rPr>
        <w:lastRenderedPageBreak/>
        <w:t>Theory</w:t>
      </w:r>
    </w:p>
    <w:p w14:paraId="2E566311" w14:textId="77777777" w:rsidR="000B040F" w:rsidRPr="00867315" w:rsidRDefault="000B040F" w:rsidP="003C110E">
      <w:pPr>
        <w:pStyle w:val="NormalHanging"/>
      </w:pPr>
      <w:r w:rsidRPr="00867315">
        <w:t>Semiconductors, metals, electrolytes and other conducting materials have charge carriers that are free to move about in the substance, not being tightly bound to any particular atom or molecule.  If an electric field exists in such a conducting material, positive and/or negative charge carriers tend to drift towards the electrode or contact of opposite polarity, thus causing an electric current.  The charge carriers are not able to travel unimpeded from one contact to another; in a solid they collide with defects in the lattice structure such as impurity atoms and lattice vibrations, and in a liquid or gas with other ions, molecules, or atoms.  These collisions impede the current flow and give rise to electrical resistance.</w:t>
      </w:r>
    </w:p>
    <w:p w14:paraId="43234902" w14:textId="77777777" w:rsidR="000B040F" w:rsidRPr="00867315" w:rsidRDefault="000B040F" w:rsidP="000B040F">
      <w:pPr>
        <w:pStyle w:val="Heading5"/>
        <w:rPr>
          <w:szCs w:val="24"/>
        </w:rPr>
      </w:pPr>
      <w:r w:rsidRPr="00867315">
        <w:rPr>
          <w:szCs w:val="24"/>
        </w:rPr>
        <w:t>Conductivity</w:t>
      </w:r>
    </w:p>
    <w:p w14:paraId="3BB4B6A8" w14:textId="77777777" w:rsidR="000B040F" w:rsidRDefault="000B040F" w:rsidP="003C110E">
      <w:pPr>
        <w:pStyle w:val="NormalHanging"/>
      </w:pPr>
      <w:r w:rsidRPr="00867315">
        <w:t xml:space="preserve">To explain the conduction processes in a semiconductor we need to assume that the electric current may be caused by the flow of two types of charged carriers, electrons </w:t>
      </w:r>
      <w:r>
        <w:t xml:space="preserve">(in conduction band) </w:t>
      </w:r>
      <w:r w:rsidRPr="00867315">
        <w:t>and holes</w:t>
      </w:r>
      <w:r>
        <w:t xml:space="preserve"> (absence of an electron from valence band)</w:t>
      </w:r>
      <w:r w:rsidRPr="00867315">
        <w:t xml:space="preserve">.  The hole may be looked upon as a particle carrying a positive electronic charge and its movement is analogous to that of the gap in a line of cars as they accelerate away from a traffic light which has just turned green: as the cars (electrons) move forward in turn, the gap (hole) moves in the opposite direction.  The electrical conductivity </w:t>
      </w:r>
      <m:oMath>
        <m:r>
          <w:rPr>
            <w:rFonts w:ascii="Cambria Math" w:hAnsi="Cambria Math"/>
          </w:rPr>
          <m:t>σ</m:t>
        </m:r>
      </m:oMath>
      <w:r w:rsidR="00C6066B">
        <w:t xml:space="preserve"> </w:t>
      </w:r>
      <w:r w:rsidRPr="00867315">
        <w:t>may be expressed in terms of the number of charge carriers, their charge, and their mobility</w:t>
      </w:r>
      <w:r w:rsidR="0051654F">
        <w:t>:</w:t>
      </w:r>
    </w:p>
    <w:p w14:paraId="1ED01836" w14:textId="77777777" w:rsidR="000B040F" w:rsidRPr="00867315" w:rsidRDefault="000B040F" w:rsidP="000B040F">
      <w:pPr>
        <w:pStyle w:val="Equation"/>
      </w:pPr>
      <w:r w:rsidRPr="003C110E">
        <w:rPr>
          <w:position w:val="-8"/>
        </w:rPr>
        <w:object w:dxaOrig="3400" w:dyaOrig="280" w14:anchorId="7C235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pt;height:14pt" o:ole="">
            <v:imagedata r:id="rId10" o:title=""/>
          </v:shape>
          <o:OLEObject Type="Embed" ProgID="Equation.3" ShapeID="_x0000_i1025" DrawAspect="Content" ObjectID="_1576676714" r:id="rId11"/>
        </w:object>
      </w:r>
      <w:r>
        <w:tab/>
      </w:r>
      <w:r w:rsidRPr="00867315">
        <w:t>(1)</w:t>
      </w:r>
    </w:p>
    <w:p w14:paraId="303D868A" w14:textId="77777777" w:rsidR="000B040F" w:rsidRPr="00867315" w:rsidRDefault="000B040F" w:rsidP="000B040F">
      <w:r w:rsidRPr="00867315">
        <w:t xml:space="preserve">where </w:t>
      </w:r>
      <w:r w:rsidRPr="00867315">
        <w:rPr>
          <w:i/>
        </w:rPr>
        <w:t>p</w:t>
      </w:r>
      <w:r>
        <w:t xml:space="preserve"> is the</w:t>
      </w:r>
      <w:r w:rsidRPr="00867315">
        <w:t xml:space="preserve"> number</w:t>
      </w:r>
      <w:r>
        <w:t xml:space="preserve"> density </w:t>
      </w:r>
      <w:r w:rsidRPr="00867315">
        <w:t>of holes</w:t>
      </w:r>
      <w:r>
        <w:t xml:space="preserve"> in m</w:t>
      </w:r>
      <w:r w:rsidRPr="00495D57">
        <w:rPr>
          <w:vertAlign w:val="superscript"/>
        </w:rPr>
        <w:t>-3</w:t>
      </w:r>
      <w:r>
        <w:t xml:space="preserve">, </w:t>
      </w:r>
      <w:r w:rsidRPr="00495D57">
        <w:rPr>
          <w:i/>
        </w:rPr>
        <w:t>n</w:t>
      </w:r>
      <w:r>
        <w:t xml:space="preserve"> is the number density of </w:t>
      </w:r>
      <w:r w:rsidRPr="00867315">
        <w:t>electrons</w:t>
      </w:r>
      <w:r>
        <w:t xml:space="preserve"> in m</w:t>
      </w:r>
      <w:r w:rsidRPr="00495D57">
        <w:rPr>
          <w:vertAlign w:val="superscript"/>
        </w:rPr>
        <w:t>-3</w:t>
      </w:r>
      <w:r w:rsidRPr="00867315">
        <w:t xml:space="preserve">, </w:t>
      </w:r>
      <w:r w:rsidRPr="00867315">
        <w:rPr>
          <w:i/>
        </w:rPr>
        <w:t>e</w:t>
      </w:r>
      <w:r>
        <w:t>=1.602×10</w:t>
      </w:r>
      <w:r w:rsidRPr="00A52893">
        <w:rPr>
          <w:vertAlign w:val="superscript"/>
        </w:rPr>
        <w:t>-19</w:t>
      </w:r>
      <w:r>
        <w:t xml:space="preserve"> C is the magnitude of the charge of the electron,</w:t>
      </w:r>
      <w:r w:rsidRPr="00867315">
        <w:t xml:space="preserve"> </w:t>
      </w:r>
      <w:r w:rsidRPr="00A52893">
        <w:rPr>
          <w:i/>
        </w:rPr>
        <w:sym w:font="Symbol" w:char="F06D"/>
      </w:r>
      <w:r w:rsidRPr="006335AC">
        <w:rPr>
          <w:i/>
          <w:vertAlign w:val="subscript"/>
        </w:rPr>
        <w:t>h</w:t>
      </w:r>
      <w:r>
        <w:t xml:space="preserve"> is the hole mobility in m</w:t>
      </w:r>
      <w:r w:rsidRPr="00A52893">
        <w:rPr>
          <w:vertAlign w:val="superscript"/>
        </w:rPr>
        <w:t>2</w:t>
      </w:r>
      <w:r>
        <w:t>s</w:t>
      </w:r>
      <w:r>
        <w:rPr>
          <w:vertAlign w:val="superscript"/>
        </w:rPr>
        <w:t>-</w:t>
      </w:r>
      <w:r w:rsidRPr="00A52893">
        <w:rPr>
          <w:vertAlign w:val="superscript"/>
        </w:rPr>
        <w:t>1</w:t>
      </w:r>
      <w:r>
        <w:t>V</w:t>
      </w:r>
      <w:r w:rsidRPr="00A52893">
        <w:rPr>
          <w:vertAlign w:val="superscript"/>
        </w:rPr>
        <w:t>-1</w:t>
      </w:r>
      <w:r>
        <w:t>, and</w:t>
      </w:r>
      <w:r w:rsidRPr="00A52893">
        <w:rPr>
          <w:i/>
        </w:rPr>
        <w:t xml:space="preserve"> </w:t>
      </w:r>
      <w:r w:rsidRPr="00A52893">
        <w:rPr>
          <w:i/>
        </w:rPr>
        <w:sym w:font="Symbol" w:char="F06D"/>
      </w:r>
      <w:r w:rsidRPr="00A52893">
        <w:rPr>
          <w:i/>
          <w:vertAlign w:val="subscript"/>
        </w:rPr>
        <w:t>e</w:t>
      </w:r>
      <w:r>
        <w:t xml:space="preserve"> is the </w:t>
      </w:r>
      <w:r w:rsidRPr="00867315">
        <w:t>electron mobility</w:t>
      </w:r>
      <w:r>
        <w:t xml:space="preserve"> in m</w:t>
      </w:r>
      <w:r w:rsidRPr="00A52893">
        <w:rPr>
          <w:vertAlign w:val="superscript"/>
        </w:rPr>
        <w:t>2</w:t>
      </w:r>
      <w:r>
        <w:t>s</w:t>
      </w:r>
      <w:r>
        <w:rPr>
          <w:vertAlign w:val="superscript"/>
        </w:rPr>
        <w:t>-</w:t>
      </w:r>
      <w:r w:rsidRPr="00A52893">
        <w:rPr>
          <w:vertAlign w:val="superscript"/>
        </w:rPr>
        <w:t>1</w:t>
      </w:r>
      <w:r>
        <w:t>V</w:t>
      </w:r>
      <w:r w:rsidRPr="00A52893">
        <w:rPr>
          <w:vertAlign w:val="superscript"/>
        </w:rPr>
        <w:t>-1</w:t>
      </w:r>
      <w:r w:rsidRPr="00867315">
        <w:t>.</w:t>
      </w:r>
    </w:p>
    <w:p w14:paraId="435F3B71" w14:textId="77777777" w:rsidR="000B040F" w:rsidRDefault="000B040F" w:rsidP="003C110E">
      <w:pPr>
        <w:pStyle w:val="NormalHanging"/>
      </w:pPr>
      <w:r w:rsidRPr="00867315">
        <w:t xml:space="preserve">Equation (1) applies to a semiconductor when the numbers of electrons and holes present are </w:t>
      </w:r>
      <w:r>
        <w:t xml:space="preserve">both </w:t>
      </w:r>
      <w:r w:rsidRPr="00867315">
        <w:t>signif</w:t>
      </w:r>
      <w:r>
        <w:t>icant. If the semiconductor is “doped”</w:t>
      </w:r>
      <w:r w:rsidRPr="00867315">
        <w:t xml:space="preserve"> by introducing suitable impurities, the charge carriers can be made predominantly of one type.  In germanium, which is in Group 4 of the periodic table, a Group 5 impurity such as antimony </w:t>
      </w:r>
      <w:r w:rsidR="0051654F">
        <w:t xml:space="preserve">(Sb) </w:t>
      </w:r>
      <w:r w:rsidRPr="00867315">
        <w:t xml:space="preserve">has an extra electron which becomes a free charge carrier and the semiconductor is then said to be n-type.  Conversely, a Group 3 impurity such as indium </w:t>
      </w:r>
      <w:r w:rsidR="0051654F">
        <w:t xml:space="preserve">(In) </w:t>
      </w:r>
      <w:r w:rsidRPr="00867315">
        <w:t>makes germanium p-type, since the missing electron is equivalent to a hole in the valence band.  Equation (1) thus becomes</w:t>
      </w:r>
    </w:p>
    <w:p w14:paraId="377839B0" w14:textId="77777777" w:rsidR="000B040F" w:rsidRPr="00867315" w:rsidRDefault="000B040F" w:rsidP="000B040F">
      <w:pPr>
        <w:pStyle w:val="Equation"/>
      </w:pPr>
      <w:r w:rsidRPr="003C110E">
        <w:rPr>
          <w:position w:val="-8"/>
        </w:rPr>
        <w:object w:dxaOrig="940" w:dyaOrig="280" w14:anchorId="729E87A9">
          <v:shape id="_x0000_i1026" type="#_x0000_t75" style="width:47pt;height:14pt" o:ole="">
            <v:imagedata r:id="rId12" o:title=""/>
          </v:shape>
          <o:OLEObject Type="Embed" ProgID="Equation.3" ShapeID="_x0000_i1026" DrawAspect="Content" ObjectID="_1576676715" r:id="rId13"/>
        </w:object>
      </w:r>
      <w:r w:rsidRPr="00867315">
        <w:tab/>
        <w:t>(2)</w:t>
      </w:r>
    </w:p>
    <w:p w14:paraId="1A49F466" w14:textId="77777777" w:rsidR="000B040F" w:rsidRDefault="000B040F" w:rsidP="000B040F">
      <w:r w:rsidRPr="00867315">
        <w:t>for a p-type semiconductor or</w:t>
      </w:r>
    </w:p>
    <w:p w14:paraId="2231B044" w14:textId="77777777" w:rsidR="000B040F" w:rsidRPr="00867315" w:rsidRDefault="000B040F" w:rsidP="000C34BE">
      <w:pPr>
        <w:pStyle w:val="Equation"/>
      </w:pPr>
      <w:r w:rsidRPr="003C110E">
        <w:rPr>
          <w:position w:val="-8"/>
        </w:rPr>
        <w:object w:dxaOrig="920" w:dyaOrig="280" w14:anchorId="46C74C9D">
          <v:shape id="_x0000_i1027" type="#_x0000_t75" style="width:46pt;height:14pt" o:ole="">
            <v:imagedata r:id="rId14" o:title=""/>
          </v:shape>
          <o:OLEObject Type="Embed" ProgID="Equation.3" ShapeID="_x0000_i1027" DrawAspect="Content" ObjectID="_1576676716" r:id="rId15"/>
        </w:object>
      </w:r>
      <w:r>
        <w:tab/>
      </w:r>
      <w:r w:rsidRPr="00867315">
        <w:t>(3)</w:t>
      </w:r>
    </w:p>
    <w:p w14:paraId="6743F7EB" w14:textId="77777777" w:rsidR="000B040F" w:rsidRPr="00867315" w:rsidRDefault="000B040F" w:rsidP="000B040F">
      <w:r w:rsidRPr="00867315">
        <w:t>for an n-type semiconductor.</w:t>
      </w:r>
    </w:p>
    <w:p w14:paraId="358ADCB2" w14:textId="77777777" w:rsidR="000B040F" w:rsidRDefault="000B040F" w:rsidP="003C110E">
      <w:pPr>
        <w:pStyle w:val="NormalHanging"/>
      </w:pPr>
      <w:r w:rsidRPr="00867315">
        <w:t xml:space="preserve">In a pure </w:t>
      </w:r>
      <w:r w:rsidR="00C26D2A">
        <w:t>(</w:t>
      </w:r>
      <w:proofErr w:type="spellStart"/>
      <w:r w:rsidR="00C26D2A">
        <w:t>undoped</w:t>
      </w:r>
      <w:proofErr w:type="spellEnd"/>
      <w:r w:rsidR="00C26D2A">
        <w:t xml:space="preserve">) </w:t>
      </w:r>
      <w:r w:rsidRPr="00867315">
        <w:t xml:space="preserve">semiconductor the number </w:t>
      </w:r>
      <w:r>
        <w:t xml:space="preserve">density </w:t>
      </w:r>
      <w:r w:rsidRPr="00A52893">
        <w:rPr>
          <w:i/>
        </w:rPr>
        <w:t>n</w:t>
      </w:r>
      <w:r>
        <w:t xml:space="preserve"> or </w:t>
      </w:r>
      <w:r w:rsidRPr="00A52893">
        <w:rPr>
          <w:i/>
        </w:rPr>
        <w:t>p</w:t>
      </w:r>
      <w:r w:rsidRPr="00867315">
        <w:t xml:space="preserve"> of charge carriers per unit volume is far smaller than in a metal. For example, in pure Ge at room temperature, </w:t>
      </w:r>
      <w:r w:rsidRPr="00867315">
        <w:rPr>
          <w:i/>
        </w:rPr>
        <w:t>n</w:t>
      </w:r>
      <w:r>
        <w:rPr>
          <w:i/>
        </w:rPr>
        <w:t xml:space="preserve"> </w:t>
      </w:r>
      <w:r>
        <w:t xml:space="preserve">≈ </w:t>
      </w:r>
      <w:r w:rsidRPr="00867315">
        <w:rPr>
          <w:i/>
        </w:rPr>
        <w:t>p</w:t>
      </w:r>
      <w:r>
        <w:rPr>
          <w:i/>
        </w:rPr>
        <w:t xml:space="preserve"> </w:t>
      </w:r>
      <w:r>
        <w:t xml:space="preserve">≈ </w:t>
      </w:r>
      <w:r w:rsidRPr="00867315">
        <w:t>10</w:t>
      </w:r>
      <w:r w:rsidRPr="00867315">
        <w:rPr>
          <w:vertAlign w:val="superscript"/>
        </w:rPr>
        <w:t>1</w:t>
      </w:r>
      <w:r>
        <w:rPr>
          <w:vertAlign w:val="superscript"/>
        </w:rPr>
        <w:t>8</w:t>
      </w:r>
      <w:r>
        <w:t xml:space="preserve"> m</w:t>
      </w:r>
      <w:r w:rsidRPr="00A52893">
        <w:rPr>
          <w:vertAlign w:val="superscript"/>
        </w:rPr>
        <w:t>-3</w:t>
      </w:r>
      <w:r w:rsidRPr="00867315">
        <w:t>, whereas in a typical metal,</w:t>
      </w:r>
      <w:r w:rsidRPr="00A52893">
        <w:rPr>
          <w:i/>
        </w:rPr>
        <w:t xml:space="preserve"> </w:t>
      </w:r>
      <w:r w:rsidRPr="00867315">
        <w:rPr>
          <w:i/>
        </w:rPr>
        <w:t>n</w:t>
      </w:r>
      <w:r>
        <w:rPr>
          <w:i/>
        </w:rPr>
        <w:t xml:space="preserve"> </w:t>
      </w:r>
      <w:r>
        <w:t xml:space="preserve">≈ </w:t>
      </w:r>
      <w:r w:rsidRPr="00867315">
        <w:t>10</w:t>
      </w:r>
      <w:r>
        <w:rPr>
          <w:vertAlign w:val="superscript"/>
        </w:rPr>
        <w:t>28</w:t>
      </w:r>
      <w:r>
        <w:t xml:space="preserve"> m</w:t>
      </w:r>
      <w:r w:rsidRPr="00A52893">
        <w:rPr>
          <w:vertAlign w:val="superscript"/>
        </w:rPr>
        <w:t>-3</w:t>
      </w:r>
      <w:r w:rsidRPr="00867315">
        <w:t xml:space="preserve">. This results in a much larger conductivity in a metal than in a semiconductor. </w:t>
      </w:r>
      <w:proofErr w:type="gramStart"/>
      <w:r w:rsidRPr="00867315">
        <w:t>However</w:t>
      </w:r>
      <w:proofErr w:type="gramEnd"/>
      <w:r w:rsidRPr="00867315">
        <w:t xml:space="preserve"> as the temperature is raised</w:t>
      </w:r>
      <w:r>
        <w:t xml:space="preserve"> in a semiconductor</w:t>
      </w:r>
      <w:r w:rsidRPr="00867315">
        <w:t xml:space="preserve"> the conductivity increases rapidly, whereas in metal the conductivity </w:t>
      </w:r>
      <w:r w:rsidRPr="00C26D2A">
        <w:t>decreases</w:t>
      </w:r>
      <w:r w:rsidRPr="00867315">
        <w:rPr>
          <w:b/>
        </w:rPr>
        <w:t xml:space="preserve"> </w:t>
      </w:r>
      <w:r w:rsidRPr="00867315">
        <w:t xml:space="preserve">slowly. This striking difference in behaviour is a direct consequence of the property of a semiconductor which distinguishes it from a metal, namely, the existence of a relatively small </w:t>
      </w:r>
      <w:r w:rsidRPr="00867315">
        <w:rPr>
          <w:b/>
        </w:rPr>
        <w:t xml:space="preserve">energy gap </w:t>
      </w:r>
      <w:r w:rsidRPr="00867315">
        <w:t xml:space="preserve">between electron states in the </w:t>
      </w:r>
      <w:r w:rsidRPr="00867315">
        <w:rPr>
          <w:b/>
        </w:rPr>
        <w:t xml:space="preserve">valence band </w:t>
      </w:r>
      <w:r w:rsidRPr="00867315">
        <w:t xml:space="preserve">(which correspond to the bound electrons constituting the covalent bonds between the atoms) and electron states in the </w:t>
      </w:r>
      <w:r w:rsidRPr="00867315">
        <w:rPr>
          <w:b/>
        </w:rPr>
        <w:t>conduction band</w:t>
      </w:r>
      <w:r w:rsidRPr="00867315">
        <w:t xml:space="preserve"> (which correspond to electrons free to conduct electricity). At low temperatures, </w:t>
      </w:r>
      <w:r w:rsidRPr="00867315">
        <w:lastRenderedPageBreak/>
        <w:t xml:space="preserve">all the electrons are in the valence band which is completely full (corresponding to the saturation of the 4 covalent bonds by the 8 electrons available from each Ge atom of valence 4 and its 4 nearest neighbours), so that there </w:t>
      </w:r>
      <w:r>
        <w:t xml:space="preserve">are no free charges or carriers, except those induced by impurities. Such a semiconductor is then referred to as extrinsic.  </w:t>
      </w:r>
      <w:r w:rsidRPr="00867315">
        <w:t>As the temperature</w:t>
      </w:r>
      <w:r>
        <w:t>,</w:t>
      </w:r>
      <w:r w:rsidRPr="00867315">
        <w:t xml:space="preserve"> </w:t>
      </w:r>
      <w:r w:rsidRPr="00A52893">
        <w:rPr>
          <w:i/>
        </w:rPr>
        <w:t>T</w:t>
      </w:r>
      <w:r>
        <w:rPr>
          <w:i/>
        </w:rPr>
        <w:t>,</w:t>
      </w:r>
      <w:r w:rsidRPr="00867315">
        <w:t xml:space="preserve"> is raised,</w:t>
      </w:r>
      <w:r>
        <w:t xml:space="preserve"> the semiconductor becomes “intrinsic”, meaning that the number density of charge carriers, as determined by the band populations of the atoms, determines the resistivity.</w:t>
      </w:r>
    </w:p>
    <w:p w14:paraId="2B4168D7" w14:textId="77777777" w:rsidR="000B040F" w:rsidRDefault="000B040F" w:rsidP="000B040F">
      <w:r>
        <w:t xml:space="preserve">In an intrinsic </w:t>
      </w:r>
      <w:proofErr w:type="gramStart"/>
      <w:r>
        <w:t>semiconductor</w:t>
      </w:r>
      <w:proofErr w:type="gramEnd"/>
      <w:r>
        <w:t xml:space="preserve"> the number of electrons is equal to the number of holes, because the thermal excitation of an electron leaves behind a hole in the valence band.  It can be shown that:</w:t>
      </w:r>
    </w:p>
    <w:p w14:paraId="075FC139" w14:textId="77777777" w:rsidR="000B040F" w:rsidRDefault="000B040F" w:rsidP="000C34BE">
      <w:pPr>
        <w:pStyle w:val="Equation"/>
      </w:pPr>
      <w:r w:rsidRPr="003C110E">
        <w:rPr>
          <w:position w:val="-24"/>
        </w:rPr>
        <w:object w:dxaOrig="3780" w:dyaOrig="660" w14:anchorId="66D3045D">
          <v:shape id="_x0000_i1028" type="#_x0000_t75" style="width:189pt;height:33pt" o:ole="">
            <v:imagedata r:id="rId16" o:title=""/>
          </v:shape>
          <o:OLEObject Type="Embed" ProgID="Equation.3" ShapeID="_x0000_i1028" DrawAspect="Content" ObjectID="_1576676717" r:id="rId17"/>
        </w:object>
      </w:r>
      <w:r>
        <w:tab/>
        <w:t>(4)</w:t>
      </w:r>
    </w:p>
    <w:p w14:paraId="7F845543" w14:textId="77777777" w:rsidR="000B040F" w:rsidRDefault="000B040F" w:rsidP="000B040F">
      <w:r w:rsidRPr="00A10FFB">
        <w:t xml:space="preserve">where the subscript </w:t>
      </w:r>
      <w:proofErr w:type="spellStart"/>
      <w:r w:rsidRPr="00171043">
        <w:rPr>
          <w:i/>
        </w:rPr>
        <w:t>i</w:t>
      </w:r>
      <w:proofErr w:type="spellEnd"/>
      <w:r w:rsidRPr="00A10FFB">
        <w:t xml:space="preserve"> denotes “intrinsic</w:t>
      </w:r>
      <w:proofErr w:type="gramStart"/>
      <w:r w:rsidRPr="00A10FFB">
        <w:t>”,</w:t>
      </w:r>
      <w:r>
        <w:t xml:space="preserve"> </w:t>
      </w:r>
      <w:r w:rsidRPr="00A10FFB">
        <w:t xml:space="preserve"> T</w:t>
      </w:r>
      <w:proofErr w:type="gramEnd"/>
      <w:r w:rsidRPr="00A10FFB">
        <w:t xml:space="preserve"> is the temperature in Kelvin,  </w:t>
      </w:r>
      <w:r w:rsidRPr="00A10FFB">
        <w:rPr>
          <w:i/>
        </w:rPr>
        <w:t>ΔE</w:t>
      </w:r>
      <w:r w:rsidRPr="00A10FFB">
        <w:t xml:space="preserve"> is the band gap energy, and </w:t>
      </w:r>
      <w:r w:rsidRPr="00A10FFB">
        <w:rPr>
          <w:i/>
        </w:rPr>
        <w:t>k</w:t>
      </w:r>
      <w:r w:rsidRPr="00A10FFB">
        <w:rPr>
          <w:i/>
          <w:vertAlign w:val="subscript"/>
        </w:rPr>
        <w:t>B</w:t>
      </w:r>
      <w:r w:rsidRPr="00A10FFB">
        <w:t>=1.38×10</w:t>
      </w:r>
      <w:r w:rsidRPr="00A10FFB">
        <w:rPr>
          <w:vertAlign w:val="superscript"/>
        </w:rPr>
        <w:t>-23</w:t>
      </w:r>
      <w:r w:rsidRPr="00A10FFB">
        <w:t xml:space="preserve"> J/K is the Boltzmann’s constant.  </w:t>
      </w:r>
      <w:r>
        <w:t>The T</w:t>
      </w:r>
      <w:r>
        <w:rPr>
          <w:vertAlign w:val="superscript"/>
        </w:rPr>
        <w:t>3/2</w:t>
      </w:r>
      <w:r>
        <w:t xml:space="preserve"> term is a phase space factor; from the Uncertainty principle, the density of momentum states per unit volume </w:t>
      </w:r>
      <w:r w:rsidRPr="003C110E">
        <w:rPr>
          <w:position w:val="-10"/>
        </w:rPr>
        <w:object w:dxaOrig="1780" w:dyaOrig="380" w14:anchorId="485B621D">
          <v:shape id="_x0000_i1029" type="#_x0000_t75" style="width:89pt;height:19pt" o:ole="">
            <v:imagedata r:id="rId18" o:title=""/>
          </v:shape>
          <o:OLEObject Type="Embed" ProgID="Equation.3" ShapeID="_x0000_i1029" DrawAspect="Content" ObjectID="_1576676718" r:id="rId19"/>
        </w:object>
      </w:r>
      <w:r>
        <w:t>, so for non-relativistic electrons/holes in a semiconductor:</w:t>
      </w:r>
    </w:p>
    <w:p w14:paraId="12C7D5F7" w14:textId="77777777" w:rsidR="000B040F" w:rsidRPr="005C51B5" w:rsidRDefault="000B040F" w:rsidP="000C34BE">
      <w:pPr>
        <w:pStyle w:val="Equation"/>
      </w:pPr>
      <w:r w:rsidRPr="000C34BE">
        <w:rPr>
          <w:position w:val="-20"/>
        </w:rPr>
        <w:object w:dxaOrig="2900" w:dyaOrig="720" w14:anchorId="74CFD5D0">
          <v:shape id="_x0000_i1030" type="#_x0000_t75" style="width:145pt;height:36pt" o:ole="">
            <v:imagedata r:id="rId20" o:title=""/>
          </v:shape>
          <o:OLEObject Type="Embed" ProgID="Equation.3" ShapeID="_x0000_i1030" DrawAspect="Content" ObjectID="_1576676719" r:id="rId21"/>
        </w:object>
      </w:r>
      <w:r>
        <w:tab/>
        <w:t>(5)</w:t>
      </w:r>
    </w:p>
    <w:p w14:paraId="17682A7E" w14:textId="77777777" w:rsidR="000B040F" w:rsidRPr="00A10FFB" w:rsidRDefault="000B040F" w:rsidP="000B040F">
      <w:r>
        <w:t xml:space="preserve">where </w:t>
      </w:r>
      <w:r>
        <w:rPr>
          <w:i/>
        </w:rPr>
        <w:t>m</w:t>
      </w:r>
      <w:r>
        <w:t xml:space="preserve"> is the effective mass of the electrons/holes (which, because of interactions with the lattice, can be very different from the rest mass of the electron).  </w:t>
      </w:r>
      <w:r w:rsidRPr="00A10FFB">
        <w:t xml:space="preserve">For a </w:t>
      </w:r>
      <w:r>
        <w:t xml:space="preserve">full </w:t>
      </w:r>
      <w:r w:rsidRPr="00A10FFB">
        <w:t xml:space="preserve">derivation of </w:t>
      </w:r>
      <w:r>
        <w:t>equation (4)</w:t>
      </w:r>
      <w:r w:rsidRPr="00A10FFB">
        <w:t>, see Kittel’s “Introduction to Solid State Physics”</w:t>
      </w:r>
      <w:r>
        <w:t>, Chapter 8.</w:t>
      </w:r>
      <w:r w:rsidR="00C26D2A">
        <w:t xml:space="preserve"> </w:t>
      </w:r>
    </w:p>
    <w:p w14:paraId="1232DB60" w14:textId="77777777" w:rsidR="000B040F" w:rsidRDefault="000B040F" w:rsidP="003C110E">
      <w:pPr>
        <w:pStyle w:val="NormalHanging"/>
      </w:pPr>
      <w:r w:rsidRPr="001D46C1">
        <w:t>At high temperatures, the temperature dependence of the conductivity is largely determined by the exponential term in eq</w:t>
      </w:r>
      <w:r>
        <w:t xml:space="preserve">uation (4), since the </w:t>
      </w:r>
      <w:proofErr w:type="spellStart"/>
      <w:r>
        <w:t>mobilities</w:t>
      </w:r>
      <w:proofErr w:type="spellEnd"/>
      <w:r w:rsidRPr="001D46C1">
        <w:t xml:space="preserve"> in equation (1) vary o</w:t>
      </w:r>
      <w:r>
        <w:t>nly as a power law</w:t>
      </w:r>
      <w:r w:rsidRPr="001D46C1">
        <w:t xml:space="preserve"> of the temperature</w:t>
      </w:r>
      <w:r>
        <w:t xml:space="preserve"> [see Adler (1964)], i.e. </w:t>
      </w:r>
      <w:r w:rsidRPr="00A52893">
        <w:rPr>
          <w:i/>
        </w:rPr>
        <w:sym w:font="Symbol" w:char="F06D"/>
      </w:r>
      <w:r>
        <w:rPr>
          <w:i/>
        </w:rPr>
        <w:t>=CT</w:t>
      </w:r>
      <w:r>
        <w:rPr>
          <w:i/>
          <w:vertAlign w:val="superscript"/>
        </w:rPr>
        <w:t>B</w:t>
      </w:r>
      <w:r>
        <w:t xml:space="preserve">, where B and C are constants.  </w:t>
      </w:r>
      <w:proofErr w:type="gramStart"/>
      <w:r>
        <w:t>So</w:t>
      </w:r>
      <w:proofErr w:type="gramEnd"/>
      <w:r>
        <w:t xml:space="preserve"> we expect the conductivity to be of the form</w:t>
      </w:r>
    </w:p>
    <w:p w14:paraId="44169CCF" w14:textId="77777777" w:rsidR="000B040F" w:rsidRDefault="000B040F" w:rsidP="000B040F">
      <w:pPr>
        <w:pStyle w:val="Equation"/>
        <w:ind w:left="1134"/>
      </w:pPr>
      <w:r w:rsidRPr="003C110E">
        <w:rPr>
          <w:position w:val="-30"/>
        </w:rPr>
        <w:object w:dxaOrig="7020" w:dyaOrig="740" w14:anchorId="644A8040">
          <v:shape id="_x0000_i1031" type="#_x0000_t75" style="width:351pt;height:37pt" o:ole="">
            <v:imagedata r:id="rId22" o:title=""/>
          </v:shape>
          <o:OLEObject Type="Embed" ProgID="Equation.3" ShapeID="_x0000_i1031" DrawAspect="Content" ObjectID="_1576676720" r:id="rId23"/>
        </w:object>
      </w:r>
      <w:r>
        <w:tab/>
        <w:t>(6)</w:t>
      </w:r>
    </w:p>
    <w:p w14:paraId="328A8E1D" w14:textId="77777777" w:rsidR="00FA3AB4" w:rsidRPr="00FA3AB4" w:rsidRDefault="00FA3AB4" w:rsidP="00FA3AB4">
      <w:r>
        <w:t xml:space="preserve">Note that the temperature dependence of the conductivity due to intrinsic carriers is exponential, while that due to extrinsic carriers is only power law. Therefore, the temperature dependence due to extrinsic carriers can be often ignored in the analysis of </w:t>
      </w:r>
      <m:oMath>
        <m:r>
          <w:rPr>
            <w:rFonts w:ascii="Cambria Math" w:hAnsi="Cambria Math"/>
          </w:rPr>
          <m:t>σ(T)</m:t>
        </m:r>
      </m:oMath>
      <w:r>
        <w:t>.</w:t>
      </w:r>
    </w:p>
    <w:p w14:paraId="087AAB02" w14:textId="77777777" w:rsidR="000B040F" w:rsidRPr="00867315" w:rsidRDefault="000B040F" w:rsidP="000B040F">
      <w:pPr>
        <w:pStyle w:val="Heading5"/>
      </w:pPr>
      <w:r w:rsidRPr="00867315">
        <w:t>Hall Effect</w:t>
      </w:r>
    </w:p>
    <w:p w14:paraId="64FF0F3E" w14:textId="77777777" w:rsidR="000B040F" w:rsidRPr="00867315" w:rsidRDefault="000B040F" w:rsidP="003C110E">
      <w:pPr>
        <w:pStyle w:val="NormalHanging"/>
      </w:pPr>
      <w:r w:rsidRPr="00867315">
        <w:t xml:space="preserve">Consider the sample of p-type semiconductor with current density </w:t>
      </w:r>
      <w:proofErr w:type="spellStart"/>
      <w:r w:rsidRPr="00867315">
        <w:rPr>
          <w:i/>
        </w:rPr>
        <w:t>J</w:t>
      </w:r>
      <w:r w:rsidRPr="00867315">
        <w:rPr>
          <w:i/>
          <w:vertAlign w:val="subscript"/>
        </w:rPr>
        <w:t>x</w:t>
      </w:r>
      <w:proofErr w:type="spellEnd"/>
      <w:r w:rsidRPr="00867315">
        <w:t xml:space="preserve"> flowing in the x-direction.  In the presence of a magnetic field </w:t>
      </w:r>
      <w:r w:rsidRPr="00867315">
        <w:rPr>
          <w:i/>
        </w:rPr>
        <w:t>B</w:t>
      </w:r>
      <w:r w:rsidRPr="00867315">
        <w:rPr>
          <w:i/>
          <w:vertAlign w:val="subscript"/>
        </w:rPr>
        <w:t>0</w:t>
      </w:r>
      <w:r>
        <w:t xml:space="preserve"> </w:t>
      </w:r>
      <w:r w:rsidRPr="00867315">
        <w:t>along the z-direction, the holes will experience a force (t</w:t>
      </w:r>
      <w:r>
        <w:t xml:space="preserve">he Lorentz force) driving them </w:t>
      </w:r>
      <w:r w:rsidRPr="00867315">
        <w:t>towards the bottom of the sample as shown in Figure 1.</w:t>
      </w:r>
    </w:p>
    <w:p w14:paraId="27F89B1C" w14:textId="77777777" w:rsidR="000B040F" w:rsidRPr="00867315" w:rsidRDefault="00C6066B" w:rsidP="000B040F">
      <w:pPr>
        <w:jc w:val="center"/>
      </w:pPr>
      <w:r w:rsidRPr="00867315">
        <w:rPr>
          <w:noProof/>
          <w:lang w:val="en-US"/>
        </w:rPr>
        <w:lastRenderedPageBreak/>
        <w:drawing>
          <wp:inline distT="0" distB="0" distL="0" distR="0" wp14:anchorId="1927027A" wp14:editId="0896B307">
            <wp:extent cx="4497705" cy="19450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97705" cy="1945005"/>
                    </a:xfrm>
                    <a:prstGeom prst="rect">
                      <a:avLst/>
                    </a:prstGeom>
                    <a:noFill/>
                    <a:ln>
                      <a:noFill/>
                    </a:ln>
                  </pic:spPr>
                </pic:pic>
              </a:graphicData>
            </a:graphic>
          </wp:inline>
        </w:drawing>
      </w:r>
    </w:p>
    <w:p w14:paraId="076355FF" w14:textId="77777777" w:rsidR="000B040F" w:rsidRPr="00867315" w:rsidRDefault="000B040F" w:rsidP="000B040F">
      <w:pPr>
        <w:jc w:val="center"/>
      </w:pPr>
      <w:r w:rsidRPr="001D46C1">
        <w:rPr>
          <w:b/>
        </w:rPr>
        <w:t>Figure 1:</w:t>
      </w:r>
      <w:r w:rsidRPr="00867315">
        <w:t xml:space="preserve"> The Hall effect for positive charge carriers.</w:t>
      </w:r>
    </w:p>
    <w:p w14:paraId="08E6BC6E" w14:textId="77777777" w:rsidR="000B040F" w:rsidRDefault="000B040F" w:rsidP="000B040F">
      <w:r w:rsidRPr="00867315">
        <w:t>This net charge displacement results in the bottom surface becoming positively charged</w:t>
      </w:r>
      <w:r>
        <w:t>,</w:t>
      </w:r>
      <w:r w:rsidRPr="00867315">
        <w:t xml:space="preserve"> and the top surface becoming negatively charged. This process obviously cannot continue indefinitely since it </w:t>
      </w:r>
      <w:proofErr w:type="gramStart"/>
      <w:r w:rsidRPr="00867315">
        <w:t>would  generate</w:t>
      </w:r>
      <w:proofErr w:type="gramEnd"/>
      <w:r w:rsidRPr="00867315">
        <w:t xml:space="preserve"> an infinite field in the </w:t>
      </w:r>
      <w:r w:rsidRPr="00690F9F">
        <w:rPr>
          <w:i/>
        </w:rPr>
        <w:t>y</w:t>
      </w:r>
      <w:r w:rsidRPr="00867315">
        <w:t xml:space="preserve">-direction. What happens is that the electric field </w:t>
      </w:r>
      <w:proofErr w:type="spellStart"/>
      <w:r w:rsidRPr="00867315">
        <w:rPr>
          <w:i/>
        </w:rPr>
        <w:t>E</w:t>
      </w:r>
      <w:r w:rsidRPr="00867315">
        <w:rPr>
          <w:i/>
          <w:vertAlign w:val="subscript"/>
        </w:rPr>
        <w:t>y</w:t>
      </w:r>
      <w:proofErr w:type="spellEnd"/>
      <w:r w:rsidRPr="00867315">
        <w:t xml:space="preserve"> adjusts itself so that the force on the holes due to this field exactly c</w:t>
      </w:r>
      <w:r>
        <w:t>ancels the Lorentz force:</w:t>
      </w:r>
    </w:p>
    <w:p w14:paraId="16D7828F" w14:textId="77777777" w:rsidR="000B040F" w:rsidRPr="003C110E" w:rsidRDefault="000B040F" w:rsidP="000B040F">
      <w:pPr>
        <w:pStyle w:val="Equation"/>
      </w:pPr>
      <w:r w:rsidRPr="003C110E">
        <w:rPr>
          <w:position w:val="-12"/>
        </w:rPr>
        <w:object w:dxaOrig="1160" w:dyaOrig="320" w14:anchorId="185EC992">
          <v:shape id="_x0000_i1032" type="#_x0000_t75" style="width:58pt;height:16pt" o:ole="">
            <v:imagedata r:id="rId25" o:title=""/>
          </v:shape>
          <o:OLEObject Type="Embed" ProgID="Equation.3" ShapeID="_x0000_i1032" DrawAspect="Content" ObjectID="_1576676721" r:id="rId26"/>
        </w:object>
      </w:r>
      <w:r w:rsidRPr="003C110E">
        <w:tab/>
        <w:t>(7)</w:t>
      </w:r>
    </w:p>
    <w:p w14:paraId="64B85D12" w14:textId="77777777" w:rsidR="000B040F" w:rsidRDefault="000B040F" w:rsidP="000B040F">
      <w:r w:rsidRPr="00867315">
        <w:t>where</w:t>
      </w:r>
      <w:r>
        <w:t xml:space="preserve"> </w:t>
      </w:r>
      <w:proofErr w:type="spellStart"/>
      <w:r w:rsidRPr="001D46C1">
        <w:rPr>
          <w:i/>
        </w:rPr>
        <w:t>v</w:t>
      </w:r>
      <w:r w:rsidRPr="001D46C1">
        <w:rPr>
          <w:i/>
          <w:vertAlign w:val="subscript"/>
        </w:rPr>
        <w:t>x</w:t>
      </w:r>
      <w:proofErr w:type="spellEnd"/>
      <w:r>
        <w:t xml:space="preserve"> </w:t>
      </w:r>
      <w:r w:rsidRPr="00867315">
        <w:t>is the hole velocity</w:t>
      </w:r>
      <w:r>
        <w:t xml:space="preserve"> in m/s, and </w:t>
      </w:r>
      <w:proofErr w:type="spellStart"/>
      <w:r w:rsidRPr="00690F9F">
        <w:rPr>
          <w:i/>
        </w:rPr>
        <w:t>B</w:t>
      </w:r>
      <w:r w:rsidRPr="00690F9F">
        <w:rPr>
          <w:i/>
          <w:vertAlign w:val="subscript"/>
        </w:rPr>
        <w:t>z</w:t>
      </w:r>
      <w:proofErr w:type="spellEnd"/>
      <w:r>
        <w:t xml:space="preserve"> is the magnetic field in Tesla</w:t>
      </w:r>
      <w:r w:rsidRPr="00867315">
        <w:t>. Now</w:t>
      </w:r>
      <w:r>
        <w:t xml:space="preserve"> the current density in the </w:t>
      </w:r>
      <w:r w:rsidRPr="001D46C1">
        <w:rPr>
          <w:i/>
        </w:rPr>
        <w:t>x</w:t>
      </w:r>
      <w:r>
        <w:t>-direction is:</w:t>
      </w:r>
    </w:p>
    <w:p w14:paraId="0FD7736D" w14:textId="77777777" w:rsidR="000B040F" w:rsidRPr="00867315" w:rsidRDefault="000B040F" w:rsidP="000B040F">
      <w:pPr>
        <w:pStyle w:val="Equation"/>
      </w:pPr>
      <w:r w:rsidRPr="003C110E">
        <w:rPr>
          <w:position w:val="-8"/>
        </w:rPr>
        <w:object w:dxaOrig="920" w:dyaOrig="280" w14:anchorId="07679818">
          <v:shape id="_x0000_i1033" type="#_x0000_t75" style="width:46pt;height:14pt" o:ole="">
            <v:imagedata r:id="rId27" o:title=""/>
          </v:shape>
          <o:OLEObject Type="Embed" ProgID="Equation.3" ShapeID="_x0000_i1033" DrawAspect="Content" ObjectID="_1576676722" r:id="rId28"/>
        </w:object>
      </w:r>
      <w:r>
        <w:tab/>
        <w:t>(8)</w:t>
      </w:r>
    </w:p>
    <w:p w14:paraId="5773E80D" w14:textId="77777777" w:rsidR="000B040F" w:rsidRDefault="000B040F" w:rsidP="000B040F">
      <w:r w:rsidRPr="00867315">
        <w:t>so that</w:t>
      </w:r>
    </w:p>
    <w:bookmarkStart w:id="0" w:name="_GoBack"/>
    <w:p w14:paraId="149A1131" w14:textId="77777777" w:rsidR="000B040F" w:rsidRPr="00867315" w:rsidRDefault="000B040F" w:rsidP="000B040F">
      <w:pPr>
        <w:pStyle w:val="Equation"/>
      </w:pPr>
      <w:r w:rsidRPr="003C110E">
        <w:rPr>
          <w:position w:val="-26"/>
        </w:rPr>
        <w:object w:dxaOrig="1040" w:dyaOrig="640" w14:anchorId="2C429115">
          <v:shape id="_x0000_i1034" type="#_x0000_t75" style="width:52pt;height:32pt" o:ole="">
            <v:imagedata r:id="rId29" o:title=""/>
          </v:shape>
          <o:OLEObject Type="Embed" ProgID="Equation.3" ShapeID="_x0000_i1034" DrawAspect="Content" ObjectID="_1576676723" r:id="rId30"/>
        </w:object>
      </w:r>
      <w:bookmarkEnd w:id="0"/>
      <w:r>
        <w:tab/>
        <w:t>(9)</w:t>
      </w:r>
    </w:p>
    <w:p w14:paraId="75924FCD" w14:textId="77777777" w:rsidR="000B040F" w:rsidRDefault="000B040F" w:rsidP="000B040F">
      <w:r>
        <w:t>we define the Hall coefficient as:</w:t>
      </w:r>
    </w:p>
    <w:p w14:paraId="090C64DC" w14:textId="77777777" w:rsidR="000B040F" w:rsidRPr="00867315" w:rsidRDefault="000B040F" w:rsidP="000B040F">
      <w:pPr>
        <w:pStyle w:val="Equation"/>
      </w:pPr>
      <w:r w:rsidRPr="003C110E">
        <w:rPr>
          <w:position w:val="-28"/>
        </w:rPr>
        <w:object w:dxaOrig="1580" w:dyaOrig="680" w14:anchorId="10C4AD98">
          <v:shape id="_x0000_i1035" type="#_x0000_t75" style="width:79pt;height:34pt" o:ole="">
            <v:imagedata r:id="rId31" o:title=""/>
          </v:shape>
          <o:OLEObject Type="Embed" ProgID="Equation.3" ShapeID="_x0000_i1035" DrawAspect="Content" ObjectID="_1576676724" r:id="rId32"/>
        </w:object>
      </w:r>
      <w:r>
        <w:tab/>
        <w:t>(10)</w:t>
      </w:r>
    </w:p>
    <w:p w14:paraId="3B86094A" w14:textId="77777777" w:rsidR="000B040F" w:rsidRDefault="000B040F" w:rsidP="000B040F">
      <w:r>
        <w:t>for p-type semiconductors</w:t>
      </w:r>
      <w:r w:rsidRPr="00867315">
        <w:t xml:space="preserve">.  In a similar </w:t>
      </w:r>
      <w:proofErr w:type="gramStart"/>
      <w:r w:rsidRPr="00867315">
        <w:t>manner</w:t>
      </w:r>
      <w:proofErr w:type="gramEnd"/>
      <w:r w:rsidRPr="00867315">
        <w:t xml:space="preserve"> it can be shown that for an n-type semiconductor, in which the charge carriers are electrons with charge -</w:t>
      </w:r>
      <w:r w:rsidRPr="00867315">
        <w:rPr>
          <w:i/>
        </w:rPr>
        <w:t>e</w:t>
      </w:r>
      <w:r w:rsidRPr="00867315">
        <w:t>, the Hall coefficient is</w:t>
      </w:r>
    </w:p>
    <w:p w14:paraId="201F2CA8" w14:textId="77777777" w:rsidR="000B040F" w:rsidRPr="00867315" w:rsidRDefault="000B040F" w:rsidP="000B040F">
      <w:pPr>
        <w:pStyle w:val="Equation"/>
      </w:pPr>
      <w:r w:rsidRPr="003C110E">
        <w:rPr>
          <w:position w:val="-20"/>
        </w:rPr>
        <w:object w:dxaOrig="1680" w:dyaOrig="560" w14:anchorId="64446753">
          <v:shape id="_x0000_i1036" type="#_x0000_t75" style="width:84pt;height:28pt" o:ole="">
            <v:imagedata r:id="rId33" o:title=""/>
          </v:shape>
          <o:OLEObject Type="Embed" ProgID="Equation.3" ShapeID="_x0000_i1036" DrawAspect="Content" ObjectID="_1576676725" r:id="rId34"/>
        </w:object>
      </w:r>
      <w:r>
        <w:tab/>
        <w:t>(11)</w:t>
      </w:r>
    </w:p>
    <w:p w14:paraId="6700FB86" w14:textId="77777777" w:rsidR="000B040F" w:rsidRPr="00867315" w:rsidRDefault="000B040F" w:rsidP="000B040F">
      <w:r w:rsidRPr="00867315">
        <w:t xml:space="preserve">Note that the Hall coefficient has opposite signs for n and p-type semiconductors.  The carrier concentration p or n can be determined from equations (10) or (11), and when combined in equation (2) or (3) with the measured conductivity, the carrier mobility </w:t>
      </w:r>
      <w:r w:rsidRPr="00867315">
        <w:rPr>
          <w:i/>
        </w:rPr>
        <w:sym w:font="Symbol" w:char="F06D"/>
      </w:r>
      <w:r w:rsidRPr="00867315">
        <w:rPr>
          <w:i/>
          <w:vertAlign w:val="subscript"/>
        </w:rPr>
        <w:t>h</w:t>
      </w:r>
      <w:r w:rsidRPr="00867315">
        <w:t xml:space="preserve"> or </w:t>
      </w:r>
      <w:r w:rsidRPr="00867315">
        <w:rPr>
          <w:i/>
        </w:rPr>
        <w:sym w:font="Symbol" w:char="F06D"/>
      </w:r>
      <w:r w:rsidRPr="00867315">
        <w:rPr>
          <w:i/>
          <w:vertAlign w:val="subscript"/>
        </w:rPr>
        <w:t>e</w:t>
      </w:r>
      <w:r w:rsidRPr="00867315">
        <w:t xml:space="preserve"> can be determined.</w:t>
      </w:r>
    </w:p>
    <w:p w14:paraId="2BBE435C" w14:textId="77777777" w:rsidR="000B040F" w:rsidRPr="00867315" w:rsidRDefault="000B040F" w:rsidP="003C110E">
      <w:pPr>
        <w:pStyle w:val="NormalHanging"/>
      </w:pPr>
      <w:r w:rsidRPr="00867315">
        <w:t>In any real semiconductor, both holes and electrons contribute to the conductivity.  If one type of carrier is dominant, it is called the majority carrier and the other type is referred to as the minority carrier.  The contribution to the conductivity from minority carriers cannot always be neglected, and may need to be included in your analysis.</w:t>
      </w:r>
    </w:p>
    <w:p w14:paraId="3D2AE7AE" w14:textId="77777777" w:rsidR="000B040F" w:rsidRPr="00B5725A" w:rsidRDefault="000B040F" w:rsidP="000B040F">
      <w:pPr>
        <w:pStyle w:val="Heading4"/>
        <w:pBdr>
          <w:top w:val="thinThickSmallGap" w:sz="24" w:space="1" w:color="auto"/>
          <w:left w:val="thinThickSmallGap" w:sz="24" w:space="4" w:color="auto"/>
          <w:bottom w:val="thickThinSmallGap" w:sz="24" w:space="1" w:color="auto"/>
          <w:right w:val="thickThinSmallGap" w:sz="24" w:space="4" w:color="auto"/>
        </w:pBdr>
        <w:jc w:val="center"/>
        <w:rPr>
          <w:bCs/>
          <w:u w:val="single"/>
        </w:rPr>
      </w:pPr>
      <w:r w:rsidRPr="00B5725A">
        <w:rPr>
          <w:bCs/>
          <w:u w:val="single"/>
        </w:rPr>
        <w:lastRenderedPageBreak/>
        <w:t>Safety Reminders</w:t>
      </w:r>
    </w:p>
    <w:p w14:paraId="3206CE16" w14:textId="77777777" w:rsidR="000B040F" w:rsidRDefault="000B040F" w:rsidP="000B040F">
      <w:pPr>
        <w:pStyle w:val="NormalDCB"/>
        <w:keepNext/>
        <w:numPr>
          <w:ilvl w:val="0"/>
          <w:numId w:val="14"/>
        </w:numPr>
        <w:pBdr>
          <w:top w:val="thinThickSmallGap" w:sz="24" w:space="1" w:color="auto"/>
          <w:left w:val="thinThickSmallGap" w:sz="24" w:space="4" w:color="auto"/>
          <w:bottom w:val="thickThinSmallGap" w:sz="24" w:space="1" w:color="auto"/>
          <w:right w:val="thickThinSmallGap" w:sz="24" w:space="4" w:color="auto"/>
        </w:pBdr>
        <w:tabs>
          <w:tab w:val="clear" w:pos="720"/>
          <w:tab w:val="num" w:pos="284"/>
        </w:tabs>
        <w:spacing w:before="20" w:after="20"/>
        <w:ind w:left="284" w:hanging="284"/>
      </w:pPr>
      <w:r>
        <w:t>Do not touch any part of the sample or sample card when the current is turned on; be aware that the sample may remain hot for some time after the heater is turned off.</w:t>
      </w:r>
    </w:p>
    <w:p w14:paraId="4A1CED98" w14:textId="77777777" w:rsidR="000B040F" w:rsidRDefault="000B040F" w:rsidP="000B040F">
      <w:pPr>
        <w:pStyle w:val="NormalDCB"/>
        <w:keepNext/>
        <w:numPr>
          <w:ilvl w:val="0"/>
          <w:numId w:val="14"/>
        </w:numPr>
        <w:pBdr>
          <w:top w:val="thinThickSmallGap" w:sz="24" w:space="1" w:color="auto"/>
          <w:left w:val="thinThickSmallGap" w:sz="24" w:space="4" w:color="auto"/>
          <w:bottom w:val="thickThinSmallGap" w:sz="24" w:space="1" w:color="auto"/>
          <w:right w:val="thickThinSmallGap" w:sz="24" w:space="4" w:color="auto"/>
        </w:pBdr>
        <w:tabs>
          <w:tab w:val="clear" w:pos="720"/>
          <w:tab w:val="num" w:pos="284"/>
        </w:tabs>
        <w:spacing w:before="20" w:after="20"/>
        <w:ind w:left="284" w:hanging="284"/>
      </w:pPr>
      <w:r>
        <w:t>Do not touch the electromagnet connectors when the electromagnetic power supply is on.</w:t>
      </w:r>
    </w:p>
    <w:p w14:paraId="52D3C49F" w14:textId="77777777" w:rsidR="000B040F" w:rsidRDefault="000B040F" w:rsidP="000B040F">
      <w:pPr>
        <w:pStyle w:val="NormalDCB"/>
        <w:keepNext/>
        <w:numPr>
          <w:ilvl w:val="0"/>
          <w:numId w:val="14"/>
        </w:numPr>
        <w:pBdr>
          <w:top w:val="thinThickSmallGap" w:sz="24" w:space="1" w:color="auto"/>
          <w:left w:val="thinThickSmallGap" w:sz="24" w:space="4" w:color="auto"/>
          <w:bottom w:val="thickThinSmallGap" w:sz="24" w:space="1" w:color="auto"/>
          <w:right w:val="thickThinSmallGap" w:sz="24" w:space="4" w:color="auto"/>
        </w:pBdr>
        <w:tabs>
          <w:tab w:val="clear" w:pos="720"/>
          <w:tab w:val="num" w:pos="284"/>
        </w:tabs>
        <w:spacing w:before="20" w:after="20"/>
        <w:ind w:left="284" w:hanging="284"/>
      </w:pPr>
      <w:r>
        <w:t>Keep metallic or electronic objects away from the magnets.  It is not always obvious which objects might be forcefully attracted, e.g. all current Canadian coins are ferromagnetic. Also keep in mind that strong magnetic fields may erase magnetic strips on credit, bank or other similar cards, or damage electronic devices.</w:t>
      </w:r>
    </w:p>
    <w:p w14:paraId="212AF0E3" w14:textId="77777777" w:rsidR="000B040F" w:rsidRPr="00C32C8D" w:rsidRDefault="000B040F" w:rsidP="000B040F">
      <w:pPr>
        <w:pStyle w:val="NormalDCB"/>
        <w:pBdr>
          <w:top w:val="thinThickSmallGap" w:sz="24" w:space="1" w:color="auto"/>
          <w:left w:val="thinThickSmallGap" w:sz="24" w:space="4" w:color="auto"/>
          <w:bottom w:val="thickThinSmallGap" w:sz="24" w:space="1" w:color="auto"/>
          <w:right w:val="thickThinSmallGap" w:sz="24" w:space="4" w:color="auto"/>
        </w:pBdr>
        <w:spacing w:before="120" w:after="20"/>
        <w:ind w:firstLine="0"/>
        <w:rPr>
          <w:i/>
        </w:rPr>
      </w:pPr>
      <w:r w:rsidRPr="00C32C8D">
        <w:rPr>
          <w:i/>
        </w:rPr>
        <w:t xml:space="preserve">NOTE: This is not a complete list of all hazards; we cannot warn against every possible dangerous stupidity, e.g. opening plugged-in electrical equipment, juggling cryostats, ….  Experimenters must constantly use common sense to assess and avoid risks, e.g. if you spill liquid on the floor it will become slippery, sharp edges may cut you, ….  If you are unsure whether something is safe, ask the supervising professor, the lab technologist, or the lab coordinator.  If an accident or incident happens, you must let us know.  More safety information is available at </w:t>
      </w:r>
      <w:hyperlink r:id="rId35" w:history="1">
        <w:r w:rsidRPr="00B657EB">
          <w:rPr>
            <w:rStyle w:val="Hyperlink"/>
            <w:i/>
          </w:rPr>
          <w:t>http://www.ehs.utoronto.ca/resources.htm</w:t>
        </w:r>
      </w:hyperlink>
      <w:r w:rsidRPr="00C32C8D">
        <w:rPr>
          <w:i/>
        </w:rPr>
        <w:t>.</w:t>
      </w:r>
      <w:r>
        <w:rPr>
          <w:i/>
        </w:rPr>
        <w:t xml:space="preserve"> </w:t>
      </w:r>
    </w:p>
    <w:p w14:paraId="0768083D" w14:textId="77777777" w:rsidR="000B040F" w:rsidRPr="00867315" w:rsidRDefault="000B040F" w:rsidP="000B040F">
      <w:pPr>
        <w:pStyle w:val="Heading4"/>
      </w:pPr>
      <w:r w:rsidRPr="00867315">
        <w:t>Experiment</w:t>
      </w:r>
    </w:p>
    <w:p w14:paraId="3D10C27C" w14:textId="77777777" w:rsidR="000B040F" w:rsidRDefault="00372535" w:rsidP="000B040F">
      <w:pPr>
        <w:pStyle w:val="NormalHanging"/>
      </w:pPr>
      <w:r>
        <w:t xml:space="preserve">Measurements are made using the </w:t>
      </w:r>
      <w:r w:rsidRPr="00A71DC4">
        <w:rPr>
          <w:lang w:val="en-US"/>
        </w:rPr>
        <w:t xml:space="preserve">van der </w:t>
      </w:r>
      <w:proofErr w:type="spellStart"/>
      <w:r w:rsidRPr="00A71DC4">
        <w:rPr>
          <w:lang w:val="en-US"/>
        </w:rPr>
        <w:t>Pauw</w:t>
      </w:r>
      <w:proofErr w:type="spellEnd"/>
      <w:r>
        <w:rPr>
          <w:lang w:val="en-US"/>
        </w:rPr>
        <w:t xml:space="preserve"> metho</w:t>
      </w:r>
      <w:r w:rsidR="00C219A7">
        <w:rPr>
          <w:lang w:val="en-US"/>
        </w:rPr>
        <w:t xml:space="preserve">d </w:t>
      </w:r>
      <w:r w:rsidR="0027077A">
        <w:rPr>
          <w:lang w:val="en-US"/>
        </w:rPr>
        <w:t xml:space="preserve">described at </w:t>
      </w:r>
      <w:hyperlink r:id="rId36" w:history="1">
        <w:r w:rsidR="0027077A" w:rsidRPr="008B645F">
          <w:rPr>
            <w:rStyle w:val="Hyperlink"/>
            <w:lang w:val="en-US"/>
          </w:rPr>
          <w:t>http://www.nist.gov/pml/div683/hall_resistivity.cfm</w:t>
        </w:r>
      </w:hyperlink>
      <w:r w:rsidR="0027077A">
        <w:rPr>
          <w:lang w:val="en-US"/>
        </w:rPr>
        <w:t xml:space="preserve">, </w:t>
      </w:r>
      <w:r w:rsidR="00204F17">
        <w:rPr>
          <w:lang w:val="en-US"/>
        </w:rPr>
        <w:t xml:space="preserve">using a square semiconductor sample with </w:t>
      </w:r>
      <w:r w:rsidR="00C219A7">
        <w:rPr>
          <w:lang w:val="en-US"/>
        </w:rPr>
        <w:t>leads attached at each corner.</w:t>
      </w:r>
      <w:r>
        <w:t xml:space="preserve"> </w:t>
      </w:r>
      <w:r w:rsidR="00C219A7">
        <w:t xml:space="preserve">By flowing current through two leads, and measuring the voltage across the other two, </w:t>
      </w:r>
      <w:r w:rsidR="009D73DE">
        <w:t xml:space="preserve">at different temperatures and in different magnetic fields, </w:t>
      </w:r>
      <w:r w:rsidR="009D73DE">
        <w:rPr>
          <w:lang w:val="en-US"/>
        </w:rPr>
        <w:t>the resistiv</w:t>
      </w:r>
      <w:r w:rsidR="006B54F8">
        <w:rPr>
          <w:lang w:val="en-US"/>
        </w:rPr>
        <w:t>ity (ρ), Hall coefficient (</w:t>
      </w:r>
      <w:r w:rsidR="006B54F8" w:rsidRPr="00867315">
        <w:t>R</w:t>
      </w:r>
      <w:r w:rsidR="006B54F8" w:rsidRPr="00867315">
        <w:rPr>
          <w:vertAlign w:val="subscript"/>
        </w:rPr>
        <w:t>H</w:t>
      </w:r>
      <w:r w:rsidR="006B54F8">
        <w:t xml:space="preserve">), </w:t>
      </w:r>
      <w:r w:rsidR="006B54F8">
        <w:rPr>
          <w:lang w:val="en-US"/>
        </w:rPr>
        <w:t>Hall mobility (</w:t>
      </w:r>
      <w:r w:rsidR="00C91E43" w:rsidRPr="00C203DA">
        <w:rPr>
          <w:i/>
        </w:rPr>
        <w:sym w:font="Symbol" w:char="F06D"/>
      </w:r>
      <w:r w:rsidR="00C91E43" w:rsidRPr="00C203DA">
        <w:rPr>
          <w:i/>
          <w:vertAlign w:val="subscript"/>
        </w:rPr>
        <w:t>h</w:t>
      </w:r>
      <w:r w:rsidR="00C91E43" w:rsidRPr="00867315">
        <w:t xml:space="preserve"> and </w:t>
      </w:r>
      <w:r w:rsidR="00C91E43" w:rsidRPr="00C203DA">
        <w:rPr>
          <w:i/>
        </w:rPr>
        <w:sym w:font="Symbol" w:char="F06D"/>
      </w:r>
      <w:r w:rsidR="00C91E43">
        <w:rPr>
          <w:i/>
          <w:vertAlign w:val="subscript"/>
        </w:rPr>
        <w:t>e</w:t>
      </w:r>
      <w:r w:rsidR="00C91E43" w:rsidRPr="00867315">
        <w:t>.</w:t>
      </w:r>
      <w:r w:rsidR="006B54F8">
        <w:t xml:space="preserve">), </w:t>
      </w:r>
      <w:r w:rsidR="00B230EC">
        <w:t xml:space="preserve">majority carrier sign (i.e. electrons or holes), </w:t>
      </w:r>
      <w:r w:rsidR="00B230EC">
        <w:rPr>
          <w:lang w:val="en-US"/>
        </w:rPr>
        <w:t>carrier density (</w:t>
      </w:r>
      <w:r w:rsidR="00B230EC" w:rsidRPr="00B230EC">
        <w:rPr>
          <w:i/>
          <w:lang w:val="en-US"/>
        </w:rPr>
        <w:t>n</w:t>
      </w:r>
      <w:r w:rsidR="00B230EC">
        <w:rPr>
          <w:lang w:val="en-US"/>
        </w:rPr>
        <w:t xml:space="preserve"> or </w:t>
      </w:r>
      <w:r w:rsidR="00B230EC" w:rsidRPr="00B230EC">
        <w:rPr>
          <w:i/>
          <w:lang w:val="en-US"/>
        </w:rPr>
        <w:t>p</w:t>
      </w:r>
      <w:r w:rsidR="00B230EC">
        <w:rPr>
          <w:lang w:val="en-US"/>
        </w:rPr>
        <w:t>), and band-</w:t>
      </w:r>
      <w:proofErr w:type="gramStart"/>
      <w:r w:rsidR="00B230EC">
        <w:rPr>
          <w:lang w:val="en-US"/>
        </w:rPr>
        <w:t>gap</w:t>
      </w:r>
      <w:r w:rsidR="009D73DE">
        <w:rPr>
          <w:lang w:val="en-US"/>
        </w:rPr>
        <w:t xml:space="preserve"> </w:t>
      </w:r>
      <w:r w:rsidR="0084643C">
        <w:rPr>
          <w:lang w:val="en-US"/>
        </w:rPr>
        <w:t xml:space="preserve"> of</w:t>
      </w:r>
      <w:proofErr w:type="gramEnd"/>
      <w:r w:rsidR="0084643C">
        <w:rPr>
          <w:lang w:val="en-US"/>
        </w:rPr>
        <w:t xml:space="preserve"> the sample can be determined.</w:t>
      </w:r>
    </w:p>
    <w:p w14:paraId="4701DCF9" w14:textId="77777777" w:rsidR="00B8505A" w:rsidRDefault="003B6DDF" w:rsidP="003B6DDF">
      <w:pPr>
        <w:pStyle w:val="NormalHanging"/>
        <w:ind w:firstLine="0"/>
        <w:jc w:val="center"/>
      </w:pPr>
      <w:r>
        <w:rPr>
          <w:noProof/>
          <w:lang w:val="en-US"/>
        </w:rPr>
        <w:drawing>
          <wp:inline distT="0" distB="0" distL="0" distR="0" wp14:anchorId="2F3CC374" wp14:editId="49230CFC">
            <wp:extent cx="6400800" cy="3762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llpicture.png"/>
                    <pic:cNvPicPr/>
                  </pic:nvPicPr>
                  <pic:blipFill>
                    <a:blip r:embed="rId37">
                      <a:extLst>
                        <a:ext uri="{28A0092B-C50C-407E-A947-70E740481C1C}">
                          <a14:useLocalDpi xmlns:a14="http://schemas.microsoft.com/office/drawing/2010/main" val="0"/>
                        </a:ext>
                      </a:extLst>
                    </a:blip>
                    <a:stretch>
                      <a:fillRect/>
                    </a:stretch>
                  </pic:blipFill>
                  <pic:spPr>
                    <a:xfrm>
                      <a:off x="0" y="0"/>
                      <a:ext cx="6400800" cy="3762375"/>
                    </a:xfrm>
                    <a:prstGeom prst="rect">
                      <a:avLst/>
                    </a:prstGeom>
                  </pic:spPr>
                </pic:pic>
              </a:graphicData>
            </a:graphic>
          </wp:inline>
        </w:drawing>
      </w:r>
    </w:p>
    <w:p w14:paraId="2D8712B3" w14:textId="77777777" w:rsidR="000B040F" w:rsidRPr="00867315" w:rsidRDefault="000B040F" w:rsidP="000B040F">
      <w:pPr>
        <w:pStyle w:val="Heading5"/>
      </w:pPr>
      <w:r w:rsidRPr="00867315">
        <w:lastRenderedPageBreak/>
        <w:t>Hall Coefficient</w:t>
      </w:r>
    </w:p>
    <w:p w14:paraId="31E5397D" w14:textId="77777777" w:rsidR="000B040F" w:rsidRPr="00867315" w:rsidRDefault="00D22FA7" w:rsidP="003C110E">
      <w:pPr>
        <w:pStyle w:val="NormalHanging"/>
      </w:pPr>
      <w:r>
        <w:t xml:space="preserve">Following the NIST procedures described starting at </w:t>
      </w:r>
      <w:hyperlink r:id="rId38" w:anchor="hall" w:history="1">
        <w:r w:rsidR="002F5098" w:rsidRPr="008B645F">
          <w:rPr>
            <w:rStyle w:val="Hyperlink"/>
          </w:rPr>
          <w:t>http://www.nist.gov/pml/div683/hall_resistivity.cfm#hall</w:t>
        </w:r>
      </w:hyperlink>
      <w:r w:rsidR="002F5098">
        <w:t>,</w:t>
      </w:r>
      <w:r>
        <w:t xml:space="preserve"> measure </w:t>
      </w:r>
      <w:r w:rsidR="00CA417B">
        <w:t xml:space="preserve">the </w:t>
      </w:r>
      <w:r w:rsidR="000B040F" w:rsidRPr="00867315">
        <w:t>Hall Coefficient, R</w:t>
      </w:r>
      <w:r w:rsidR="000B040F" w:rsidRPr="00867315">
        <w:rPr>
          <w:vertAlign w:val="subscript"/>
        </w:rPr>
        <w:t>H</w:t>
      </w:r>
      <w:r w:rsidR="00CA417B">
        <w:t xml:space="preserve">, of </w:t>
      </w:r>
      <w:r w:rsidR="00CA417B" w:rsidRPr="00867315">
        <w:t xml:space="preserve">both n- and p-doped samples at </w:t>
      </w:r>
      <w:r w:rsidR="00B938F2">
        <w:t>room temperature</w:t>
      </w:r>
      <w:r>
        <w:t>.</w:t>
      </w:r>
      <w:r w:rsidR="000B040F" w:rsidRPr="00867315">
        <w:t xml:space="preserve">  </w:t>
      </w:r>
      <w:r w:rsidR="00833B40">
        <w:t xml:space="preserve">Do not exceed the maximum </w:t>
      </w:r>
      <w:proofErr w:type="gramStart"/>
      <w:r w:rsidR="00833B40">
        <w:t xml:space="preserve">current </w:t>
      </w:r>
      <w:r w:rsidR="00CA417B">
        <w:t xml:space="preserve"> </w:t>
      </w:r>
      <w:r w:rsidR="00833B40">
        <w:t>recommended</w:t>
      </w:r>
      <w:proofErr w:type="gramEnd"/>
      <w:r w:rsidR="00833B40">
        <w:t xml:space="preserve"> by the A</w:t>
      </w:r>
      <w:r w:rsidR="00CA417B">
        <w:t>dvanced Physics Lab</w:t>
      </w:r>
      <w:r w:rsidR="00833B40">
        <w:t xml:space="preserve"> technologists.</w:t>
      </w:r>
      <w:r w:rsidR="000B040F" w:rsidRPr="00867315">
        <w:t xml:space="preserve"> One can use either a permanent mag</w:t>
      </w:r>
      <w:r w:rsidR="00CA417B">
        <w:t>net or an electromagnet for these</w:t>
      </w:r>
      <w:r w:rsidR="000B040F" w:rsidRPr="00867315">
        <w:t xml:space="preserve"> measurement</w:t>
      </w:r>
      <w:r w:rsidR="00CA417B">
        <w:t>s</w:t>
      </w:r>
      <w:r w:rsidR="000B040F" w:rsidRPr="00867315">
        <w:t>.</w:t>
      </w:r>
      <w:r w:rsidR="00CA417B">
        <w:t xml:space="preserve">  </w:t>
      </w:r>
      <w:r w:rsidR="000B040F" w:rsidRPr="00867315">
        <w:t xml:space="preserve">It may also be interesting to measure the Hall coefficient of an </w:t>
      </w:r>
      <w:r w:rsidR="00AF3138">
        <w:t>“</w:t>
      </w:r>
      <w:proofErr w:type="spellStart"/>
      <w:r w:rsidR="000B040F" w:rsidRPr="00867315">
        <w:t>undoped</w:t>
      </w:r>
      <w:proofErr w:type="spellEnd"/>
      <w:r w:rsidR="00AF3138">
        <w:t>”</w:t>
      </w:r>
      <w:r w:rsidR="000B040F" w:rsidRPr="00867315">
        <w:t xml:space="preserve"> sample.</w:t>
      </w:r>
      <w:r w:rsidR="0084643C">
        <w:t xml:space="preserve">  </w:t>
      </w:r>
      <w:r w:rsidR="000B040F" w:rsidRPr="00867315">
        <w:t xml:space="preserve">Measure the magnetic field with a </w:t>
      </w:r>
      <w:proofErr w:type="spellStart"/>
      <w:r w:rsidR="000B040F" w:rsidRPr="00867315">
        <w:t>gaussmeter</w:t>
      </w:r>
      <w:proofErr w:type="spellEnd"/>
      <w:r w:rsidR="000B040F" w:rsidRPr="00867315">
        <w:t xml:space="preserve"> and </w:t>
      </w:r>
      <w:r w:rsidR="000B040F" w:rsidRPr="00867315">
        <w:rPr>
          <w:b/>
        </w:rPr>
        <w:t>determine the carrier densities</w:t>
      </w:r>
      <w:r w:rsidR="000B040F" w:rsidRPr="00867315">
        <w:t>.</w:t>
      </w:r>
    </w:p>
    <w:p w14:paraId="41DB4FCB" w14:textId="77777777" w:rsidR="000B040F" w:rsidRPr="00867315" w:rsidRDefault="000B040F" w:rsidP="000B040F">
      <w:pPr>
        <w:pStyle w:val="Heading5"/>
      </w:pPr>
      <w:r w:rsidRPr="00867315">
        <w:t>Conductivity Versus Temperature</w:t>
      </w:r>
    </w:p>
    <w:p w14:paraId="1591015B" w14:textId="77777777" w:rsidR="000B040F" w:rsidRDefault="002F5098" w:rsidP="003C110E">
      <w:pPr>
        <w:pStyle w:val="NormalHanging"/>
      </w:pPr>
      <w:r>
        <w:t xml:space="preserve">Following the NIST procedures described starting at </w:t>
      </w:r>
      <w:hyperlink r:id="rId39" w:anchor="resistivity" w:history="1">
        <w:r w:rsidRPr="008B645F">
          <w:rPr>
            <w:rStyle w:val="Hyperlink"/>
          </w:rPr>
          <w:t>http://www.nist.gov/pml/div683/hall_resistivity.cfm#resistivity</w:t>
        </w:r>
      </w:hyperlink>
      <w:r>
        <w:t xml:space="preserve">, </w:t>
      </w:r>
      <w:r w:rsidR="000B040F" w:rsidRPr="00867315">
        <w:t xml:space="preserve"> determine the variation of the conductivity with temperature over th</w:t>
      </w:r>
      <w:r w:rsidR="000B040F">
        <w:t xml:space="preserve">e range from room temperature to &gt; 100 </w:t>
      </w:r>
      <w:r w:rsidR="000B040F">
        <w:sym w:font="Symbol" w:char="F0B0"/>
      </w:r>
      <w:r w:rsidR="000B040F">
        <w:t>C</w:t>
      </w:r>
      <w:r w:rsidR="000B040F" w:rsidRPr="00867315">
        <w:t>.</w:t>
      </w:r>
      <w:r w:rsidR="000B040F">
        <w:t xml:space="preserve"> </w:t>
      </w:r>
      <w:r w:rsidR="00C91E43">
        <w:rPr>
          <w:b/>
        </w:rPr>
        <w:t>Overheating the sample may</w:t>
      </w:r>
      <w:r w:rsidR="00C91E43" w:rsidRPr="003C110E">
        <w:rPr>
          <w:b/>
        </w:rPr>
        <w:t xml:space="preserve"> damage the Hall Probe</w:t>
      </w:r>
      <w:r w:rsidR="00B05FF7">
        <w:rPr>
          <w:b/>
        </w:rPr>
        <w:t>!</w:t>
      </w:r>
    </w:p>
    <w:p w14:paraId="76EDB508" w14:textId="77777777" w:rsidR="000B040F" w:rsidRPr="003C110E" w:rsidRDefault="000B040F" w:rsidP="003C110E">
      <w:pPr>
        <w:pStyle w:val="NormalHanging"/>
        <w:numPr>
          <w:ilvl w:val="0"/>
          <w:numId w:val="13"/>
        </w:numPr>
        <w:spacing w:after="60"/>
        <w:ind w:left="714" w:hanging="357"/>
      </w:pPr>
      <w:r w:rsidRPr="003C110E">
        <w:t>Indicate the ranges of temperature over which the samples exhibit the characteristics of intrinsic and extrinsic conductivity.</w:t>
      </w:r>
    </w:p>
    <w:p w14:paraId="1846DDDC" w14:textId="77777777" w:rsidR="000B040F" w:rsidRPr="003C110E" w:rsidRDefault="000B040F" w:rsidP="003C110E">
      <w:pPr>
        <w:pStyle w:val="NormalHanging"/>
        <w:numPr>
          <w:ilvl w:val="0"/>
          <w:numId w:val="13"/>
        </w:numPr>
        <w:spacing w:after="60"/>
        <w:ind w:left="714" w:hanging="357"/>
      </w:pPr>
      <w:r w:rsidRPr="003C110E">
        <w:t>Is equation (4) consistent with the data over any temperature region?</w:t>
      </w:r>
    </w:p>
    <w:p w14:paraId="71B9EE67" w14:textId="77777777" w:rsidR="000B040F" w:rsidRPr="003C110E" w:rsidRDefault="000B040F" w:rsidP="003C110E">
      <w:pPr>
        <w:pStyle w:val="NormalHanging"/>
        <w:numPr>
          <w:ilvl w:val="0"/>
          <w:numId w:val="13"/>
        </w:numPr>
        <w:spacing w:after="60"/>
        <w:ind w:left="714" w:hanging="357"/>
      </w:pPr>
      <w:r w:rsidRPr="003C110E">
        <w:t>Is equation (6) consistent with the data?</w:t>
      </w:r>
    </w:p>
    <w:p w14:paraId="04FBC914" w14:textId="77777777" w:rsidR="000B040F" w:rsidRPr="003C110E" w:rsidRDefault="000B040F" w:rsidP="003C110E">
      <w:pPr>
        <w:pStyle w:val="NormalHanging"/>
        <w:numPr>
          <w:ilvl w:val="0"/>
          <w:numId w:val="13"/>
        </w:numPr>
        <w:spacing w:after="60"/>
        <w:ind w:left="714" w:hanging="357"/>
      </w:pPr>
      <w:r w:rsidRPr="003C110E">
        <w:t xml:space="preserve">Determine the energy gap for </w:t>
      </w:r>
      <w:proofErr w:type="spellStart"/>
      <w:r w:rsidR="00AF3138">
        <w:t>undoped</w:t>
      </w:r>
      <w:proofErr w:type="spellEnd"/>
      <w:r w:rsidR="00AF3138">
        <w:t xml:space="preserve"> samples. </w:t>
      </w:r>
      <w:r w:rsidRPr="003C110E">
        <w:t xml:space="preserve">Are the gaps all the same?  It may be interesting to also </w:t>
      </w:r>
      <w:r w:rsidR="00AF3138">
        <w:t xml:space="preserve">determine the gap for </w:t>
      </w:r>
      <w:r w:rsidR="00AF3138" w:rsidRPr="003C110E">
        <w:t>both the n- and p- doped samples</w:t>
      </w:r>
      <w:r w:rsidR="00AF3138">
        <w:t xml:space="preserve"> and compare them with that of the </w:t>
      </w:r>
      <w:proofErr w:type="spellStart"/>
      <w:r w:rsidR="00AF3138">
        <w:t>undoped</w:t>
      </w:r>
      <w:proofErr w:type="spellEnd"/>
      <w:r w:rsidR="00AF3138" w:rsidRPr="003C110E">
        <w:t xml:space="preserve"> </w:t>
      </w:r>
      <w:r w:rsidRPr="003C110E">
        <w:t>sample.</w:t>
      </w:r>
    </w:p>
    <w:p w14:paraId="4A5DA7DB" w14:textId="77777777" w:rsidR="00AF3138" w:rsidRDefault="00AF3138" w:rsidP="00EE31D7">
      <w:pPr>
        <w:pStyle w:val="NormalHanging"/>
        <w:keepNext/>
        <w:numPr>
          <w:ilvl w:val="0"/>
          <w:numId w:val="13"/>
        </w:numPr>
        <w:spacing w:after="60"/>
        <w:ind w:left="714" w:hanging="357"/>
      </w:pPr>
      <w:r>
        <w:t>Determine the mobility of both n- and p-doped samples. Conductivity depends on both mobility and carrier density, while the Hall coefficient depends just on the carrier density, so measuring both the Hall coefficient and the conductivity as a function of temperature may allow you to determine the temperature dependence of the mobility and carrier density separately.</w:t>
      </w:r>
    </w:p>
    <w:p w14:paraId="05FD611E" w14:textId="77777777" w:rsidR="000B040F" w:rsidRDefault="000B040F" w:rsidP="00EE31D7">
      <w:pPr>
        <w:pStyle w:val="NormalHanging"/>
        <w:keepNext/>
        <w:numPr>
          <w:ilvl w:val="0"/>
          <w:numId w:val="13"/>
        </w:numPr>
        <w:spacing w:after="60"/>
        <w:ind w:left="714" w:hanging="357"/>
      </w:pPr>
      <w:r w:rsidRPr="003C110E">
        <w:t>Can you determine any other interesting parameter? e.g. the mobility temperature exponent B, or the mean electron/hole effective mass (</w:t>
      </w:r>
      <w:proofErr w:type="spellStart"/>
      <w:r w:rsidRPr="003C110E">
        <w:t>m</w:t>
      </w:r>
      <w:r w:rsidRPr="003C110E">
        <w:rPr>
          <w:vertAlign w:val="subscript"/>
        </w:rPr>
        <w:t>e</w:t>
      </w:r>
      <w:r w:rsidRPr="003C110E">
        <w:t>m</w:t>
      </w:r>
      <w:r w:rsidRPr="003C110E">
        <w:rPr>
          <w:vertAlign w:val="subscript"/>
        </w:rPr>
        <w:t>p</w:t>
      </w:r>
      <w:proofErr w:type="spellEnd"/>
      <w:r w:rsidRPr="003C110E">
        <w:t>)</w:t>
      </w:r>
      <w:r w:rsidRPr="003C110E">
        <w:rPr>
          <w:vertAlign w:val="superscript"/>
        </w:rPr>
        <w:t>1/2</w:t>
      </w:r>
      <w:r w:rsidRPr="003C110E">
        <w:t>.</w:t>
      </w:r>
    </w:p>
    <w:p w14:paraId="6483663B" w14:textId="77777777" w:rsidR="00EE31D7" w:rsidRDefault="00EE31D7" w:rsidP="00AF3138">
      <w:pPr>
        <w:pStyle w:val="NormalHanging"/>
        <w:spacing w:after="60"/>
        <w:ind w:firstLine="0"/>
      </w:pPr>
    </w:p>
    <w:p w14:paraId="1FF5D754" w14:textId="77777777" w:rsidR="000B040F" w:rsidRPr="00867315" w:rsidRDefault="000B040F" w:rsidP="000B040F">
      <w:pPr>
        <w:pStyle w:val="Heading4"/>
      </w:pPr>
      <w:r w:rsidRPr="00867315">
        <w:t>Bibliography</w:t>
      </w:r>
    </w:p>
    <w:p w14:paraId="35526897" w14:textId="77777777" w:rsidR="000B040F" w:rsidRPr="00867315" w:rsidRDefault="000B040F" w:rsidP="000B040F">
      <w:r w:rsidRPr="00867315">
        <w:t xml:space="preserve">R. B. Adler </w:t>
      </w:r>
      <w:r w:rsidRPr="00867315">
        <w:rPr>
          <w:i/>
        </w:rPr>
        <w:t>et al.</w:t>
      </w:r>
      <w:r w:rsidRPr="00867315">
        <w:t>, Introduction to Semiconductor Physics, Wiley, 1964 (QC 612 S4A4).</w:t>
      </w:r>
    </w:p>
    <w:p w14:paraId="35832FBD" w14:textId="77777777" w:rsidR="000B040F" w:rsidRPr="00867315" w:rsidRDefault="00C6066B" w:rsidP="000B040F">
      <w:r w:rsidRPr="00AB559E">
        <w:rPr>
          <w:noProof/>
          <w:lang w:val="en-US"/>
        </w:rPr>
        <mc:AlternateContent>
          <mc:Choice Requires="wps">
            <w:drawing>
              <wp:anchor distT="0" distB="0" distL="114300" distR="114300" simplePos="0" relativeHeight="251657728" behindDoc="0" locked="0" layoutInCell="1" allowOverlap="1" wp14:anchorId="60B60333" wp14:editId="41A5ABB2">
                <wp:simplePos x="0" y="0"/>
                <wp:positionH relativeFrom="column">
                  <wp:posOffset>4966335</wp:posOffset>
                </wp:positionH>
                <wp:positionV relativeFrom="paragraph">
                  <wp:posOffset>1297940</wp:posOffset>
                </wp:positionV>
                <wp:extent cx="228600" cy="114300"/>
                <wp:effectExtent l="0" t="0" r="0" b="0"/>
                <wp:wrapTight wrapText="bothSides">
                  <wp:wrapPolygon edited="0">
                    <wp:start x="0" y="0"/>
                    <wp:lineTo x="21600" y="0"/>
                    <wp:lineTo x="21600" y="21600"/>
                    <wp:lineTo x="0" y="21600"/>
                    <wp:lineTo x="0" y="0"/>
                  </wp:wrapPolygon>
                </wp:wrapTight>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91DC2" w14:textId="77777777" w:rsidR="009E6E8B" w:rsidRDefault="009E6E8B">
                            <w:r>
                              <w:t>w</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32" o:spid="_x0000_s1026" type="#_x0000_t202" style="position:absolute;margin-left:391.05pt;margin-top:102.2pt;width:18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" filled="f" stroked="f">
                <v:textbox inset=",7.2pt,,7.2pt">
                  <w:txbxContent>
                    <w:p w:rsidR="009E6E8B" w:rsidRDefault="009E6E8B">
                      <w:r>
                        <w:t>w</w:t>
                      </w:r>
                    </w:p>
                  </w:txbxContent>
                </v:textbox>
                <w10:wrap type="tight"/>
              </v:shape>
            </w:pict>
          </mc:Fallback>
        </mc:AlternateContent>
      </w:r>
      <w:r w:rsidR="000B040F" w:rsidRPr="00867315">
        <w:t>C. Kittel, Introduction to Solid State Physics, Wiley, 6th Edition, 1986 (QC 171 K5).</w:t>
      </w:r>
    </w:p>
    <w:sectPr w:rsidR="000B040F" w:rsidRPr="00867315" w:rsidSect="000B040F">
      <w:footerReference w:type="even" r:id="rId40"/>
      <w:footerReference w:type="default" r:id="rId41"/>
      <w:pgSz w:w="12240" w:h="15840"/>
      <w:pgMar w:top="1080" w:right="1080" w:bottom="1080" w:left="108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A56C0" w14:textId="77777777" w:rsidR="006D7986" w:rsidRDefault="006D7986">
      <w:r>
        <w:separator/>
      </w:r>
    </w:p>
  </w:endnote>
  <w:endnote w:type="continuationSeparator" w:id="0">
    <w:p w14:paraId="03FCEA17" w14:textId="77777777" w:rsidR="006D7986" w:rsidRDefault="006D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맑은 고딕">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E4417" w14:textId="77777777" w:rsidR="009E6E8B" w:rsidRDefault="009E6E8B" w:rsidP="000B040F">
    <w:pPr>
      <w:framePr w:wrap="around" w:vAnchor="text" w:hAnchor="margin" w:xAlign="center" w:y="1"/>
    </w:pPr>
    <w:r>
      <w:fldChar w:fldCharType="begin"/>
    </w:r>
    <w:r>
      <w:instrText xml:space="preserve">PAGE  </w:instrText>
    </w:r>
    <w:r>
      <w:fldChar w:fldCharType="end"/>
    </w:r>
  </w:p>
  <w:p w14:paraId="44B71660" w14:textId="77777777" w:rsidR="009E6E8B" w:rsidRDefault="009E6E8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3EDA4" w14:textId="77777777" w:rsidR="009E6E8B" w:rsidRDefault="009E6E8B" w:rsidP="000B040F">
    <w:pPr>
      <w:framePr w:wrap="around" w:vAnchor="text" w:hAnchor="margin" w:xAlign="center" w:y="1"/>
    </w:pPr>
    <w:r>
      <w:fldChar w:fldCharType="begin"/>
    </w:r>
    <w:r>
      <w:instrText xml:space="preserve">PAGE  </w:instrText>
    </w:r>
    <w:r>
      <w:fldChar w:fldCharType="separate"/>
    </w:r>
    <w:r w:rsidR="00F249DC">
      <w:rPr>
        <w:noProof/>
      </w:rPr>
      <w:t>3</w:t>
    </w:r>
    <w:r>
      <w:fldChar w:fldCharType="end"/>
    </w:r>
  </w:p>
  <w:p w14:paraId="65A0727C" w14:textId="77777777" w:rsidR="009E6E8B" w:rsidRDefault="009E6E8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2053C" w14:textId="77777777" w:rsidR="006D7986" w:rsidRDefault="006D7986">
      <w:r>
        <w:separator/>
      </w:r>
    </w:p>
  </w:footnote>
  <w:footnote w:type="continuationSeparator" w:id="0">
    <w:p w14:paraId="4B1EA331" w14:textId="77777777" w:rsidR="006D7986" w:rsidRDefault="006D79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25C3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23CD864"/>
    <w:lvl w:ilvl="0">
      <w:start w:val="1"/>
      <w:numFmt w:val="decimal"/>
      <w:lvlText w:val="%1."/>
      <w:lvlJc w:val="left"/>
      <w:pPr>
        <w:tabs>
          <w:tab w:val="num" w:pos="1800"/>
        </w:tabs>
        <w:ind w:left="1800" w:hanging="360"/>
      </w:pPr>
    </w:lvl>
  </w:abstractNum>
  <w:abstractNum w:abstractNumId="2">
    <w:nsid w:val="FFFFFF7D"/>
    <w:multiLevelType w:val="singleLevel"/>
    <w:tmpl w:val="C908CF52"/>
    <w:lvl w:ilvl="0">
      <w:start w:val="1"/>
      <w:numFmt w:val="decimal"/>
      <w:lvlText w:val="%1."/>
      <w:lvlJc w:val="left"/>
      <w:pPr>
        <w:tabs>
          <w:tab w:val="num" w:pos="1440"/>
        </w:tabs>
        <w:ind w:left="1440" w:hanging="360"/>
      </w:pPr>
    </w:lvl>
  </w:abstractNum>
  <w:abstractNum w:abstractNumId="3">
    <w:nsid w:val="FFFFFF7E"/>
    <w:multiLevelType w:val="singleLevel"/>
    <w:tmpl w:val="48183702"/>
    <w:lvl w:ilvl="0">
      <w:start w:val="1"/>
      <w:numFmt w:val="decimal"/>
      <w:lvlText w:val="%1."/>
      <w:lvlJc w:val="left"/>
      <w:pPr>
        <w:tabs>
          <w:tab w:val="num" w:pos="1080"/>
        </w:tabs>
        <w:ind w:left="1080" w:hanging="360"/>
      </w:pPr>
    </w:lvl>
  </w:abstractNum>
  <w:abstractNum w:abstractNumId="4">
    <w:nsid w:val="FFFFFF7F"/>
    <w:multiLevelType w:val="singleLevel"/>
    <w:tmpl w:val="D8D29310"/>
    <w:lvl w:ilvl="0">
      <w:start w:val="1"/>
      <w:numFmt w:val="decimal"/>
      <w:lvlText w:val="%1."/>
      <w:lvlJc w:val="left"/>
      <w:pPr>
        <w:tabs>
          <w:tab w:val="num" w:pos="720"/>
        </w:tabs>
        <w:ind w:left="720" w:hanging="360"/>
      </w:pPr>
    </w:lvl>
  </w:abstractNum>
  <w:abstractNum w:abstractNumId="5">
    <w:nsid w:val="FFFFFF80"/>
    <w:multiLevelType w:val="singleLevel"/>
    <w:tmpl w:val="2BEAF8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14CB85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C00E9C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708188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654AA2C"/>
    <w:lvl w:ilvl="0">
      <w:start w:val="1"/>
      <w:numFmt w:val="decimal"/>
      <w:lvlText w:val="%1."/>
      <w:lvlJc w:val="left"/>
      <w:pPr>
        <w:tabs>
          <w:tab w:val="num" w:pos="360"/>
        </w:tabs>
        <w:ind w:left="360" w:hanging="360"/>
      </w:pPr>
    </w:lvl>
  </w:abstractNum>
  <w:abstractNum w:abstractNumId="10">
    <w:nsid w:val="FFFFFF89"/>
    <w:multiLevelType w:val="singleLevel"/>
    <w:tmpl w:val="FB9AC852"/>
    <w:lvl w:ilvl="0">
      <w:start w:val="1"/>
      <w:numFmt w:val="bullet"/>
      <w:lvlText w:val=""/>
      <w:lvlJc w:val="left"/>
      <w:pPr>
        <w:tabs>
          <w:tab w:val="num" w:pos="360"/>
        </w:tabs>
        <w:ind w:left="360" w:hanging="360"/>
      </w:pPr>
      <w:rPr>
        <w:rFonts w:ascii="Symbol" w:hAnsi="Symbol" w:hint="default"/>
      </w:rPr>
    </w:lvl>
  </w:abstractNum>
  <w:abstractNum w:abstractNumId="11">
    <w:nsid w:val="14A93EC4"/>
    <w:multiLevelType w:val="hybridMultilevel"/>
    <w:tmpl w:val="6A469ABE"/>
    <w:lvl w:ilvl="0" w:tplc="68D2B0F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D47B1F"/>
    <w:multiLevelType w:val="hybridMultilevel"/>
    <w:tmpl w:val="6C72E98E"/>
    <w:lvl w:ilvl="0" w:tplc="E93C5A1C">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666AFF"/>
    <w:multiLevelType w:val="hybridMultilevel"/>
    <w:tmpl w:val="BC06B698"/>
    <w:lvl w:ilvl="0" w:tplc="00010409">
      <w:start w:val="1"/>
      <w:numFmt w:val="bullet"/>
      <w:lvlText w:val=""/>
      <w:lvlJc w:val="left"/>
      <w:pPr>
        <w:tabs>
          <w:tab w:val="num" w:pos="720"/>
        </w:tabs>
        <w:ind w:left="720" w:hanging="360"/>
      </w:pPr>
      <w:rPr>
        <w:rFonts w:ascii="Symbol" w:hAnsi="Symbol" w:hint="default"/>
      </w:rPr>
    </w:lvl>
    <w:lvl w:ilvl="1" w:tplc="AEDE7E24">
      <w:start w:val="1"/>
      <w:numFmt w:val="upperLetter"/>
      <w:pStyle w:val="Experiment"/>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07C4CA0"/>
    <w:multiLevelType w:val="hybridMultilevel"/>
    <w:tmpl w:val="ABF69E98"/>
    <w:lvl w:ilvl="0" w:tplc="1BB651D0">
      <w:start w:val="1"/>
      <w:numFmt w:val="bullet"/>
      <w:lvlText w:val="•"/>
      <w:lvlJc w:val="left"/>
      <w:pPr>
        <w:tabs>
          <w:tab w:val="num" w:pos="720"/>
        </w:tabs>
        <w:ind w:left="720" w:hanging="360"/>
      </w:pPr>
      <w:rPr>
        <w:rFonts w:ascii="Times New Roman" w:hAnsi="Times New Roman" w:hint="default"/>
        <w:color w:val="auto"/>
        <w:sz w:val="32"/>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4ED2C92"/>
    <w:multiLevelType w:val="multilevel"/>
    <w:tmpl w:val="ABF69E98"/>
    <w:lvl w:ilvl="0">
      <w:start w:val="1"/>
      <w:numFmt w:val="bullet"/>
      <w:lvlText w:val="•"/>
      <w:lvlJc w:val="left"/>
      <w:pPr>
        <w:tabs>
          <w:tab w:val="num" w:pos="720"/>
        </w:tabs>
        <w:ind w:left="720" w:hanging="360"/>
      </w:pPr>
      <w:rPr>
        <w:rFonts w:ascii="Times New Roman" w:hAnsi="Times New Roman" w:hint="default"/>
        <w:color w:val="auto"/>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4"/>
  </w:num>
  <w:num w:numId="14">
    <w:abstractNumId w:val="13"/>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c0MAfSRkaGppaGlko6SsGpxcWZ+XkgBSa1AIdNBK8sAAAA"/>
  </w:docVars>
  <w:rsids>
    <w:rsidRoot w:val="00867315"/>
    <w:rsid w:val="000B040F"/>
    <w:rsid w:val="001402A2"/>
    <w:rsid w:val="00163C05"/>
    <w:rsid w:val="001B68E8"/>
    <w:rsid w:val="001D7688"/>
    <w:rsid w:val="00204F17"/>
    <w:rsid w:val="0027077A"/>
    <w:rsid w:val="002973F8"/>
    <w:rsid w:val="002D2D4E"/>
    <w:rsid w:val="002F5098"/>
    <w:rsid w:val="00364D1E"/>
    <w:rsid w:val="00372535"/>
    <w:rsid w:val="003B6DDF"/>
    <w:rsid w:val="00405250"/>
    <w:rsid w:val="004F7335"/>
    <w:rsid w:val="0051654F"/>
    <w:rsid w:val="005A14D5"/>
    <w:rsid w:val="005D2B84"/>
    <w:rsid w:val="006510D3"/>
    <w:rsid w:val="006B54F8"/>
    <w:rsid w:val="006D7986"/>
    <w:rsid w:val="00755B4E"/>
    <w:rsid w:val="007C0C10"/>
    <w:rsid w:val="00833B40"/>
    <w:rsid w:val="0084643C"/>
    <w:rsid w:val="00867315"/>
    <w:rsid w:val="009C18A7"/>
    <w:rsid w:val="009D73DE"/>
    <w:rsid w:val="009E6E8B"/>
    <w:rsid w:val="00AF3138"/>
    <w:rsid w:val="00B05FF7"/>
    <w:rsid w:val="00B230EC"/>
    <w:rsid w:val="00B8505A"/>
    <w:rsid w:val="00B938F2"/>
    <w:rsid w:val="00C219A7"/>
    <w:rsid w:val="00C26D2A"/>
    <w:rsid w:val="00C6066B"/>
    <w:rsid w:val="00C60C1D"/>
    <w:rsid w:val="00C91E43"/>
    <w:rsid w:val="00CA417B"/>
    <w:rsid w:val="00CA7000"/>
    <w:rsid w:val="00D22FA7"/>
    <w:rsid w:val="00E63796"/>
    <w:rsid w:val="00EE31D7"/>
    <w:rsid w:val="00F249DC"/>
    <w:rsid w:val="00FA3AB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652C0C"/>
  <w15:chartTrackingRefBased/>
  <w15:docId w15:val="{204131C3-3D41-4A7C-BAD3-90DFE0F9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110E"/>
    <w:pPr>
      <w:spacing w:after="120" w:line="264" w:lineRule="auto"/>
    </w:pPr>
    <w:rPr>
      <w:sz w:val="24"/>
      <w:szCs w:val="24"/>
      <w:lang w:val="en-GB" w:eastAsia="en-US"/>
    </w:rPr>
  </w:style>
  <w:style w:type="paragraph" w:styleId="Heading4">
    <w:name w:val="heading 4"/>
    <w:basedOn w:val="Normal"/>
    <w:next w:val="Normal"/>
    <w:qFormat/>
    <w:rsid w:val="003C110E"/>
    <w:pPr>
      <w:keepNext/>
      <w:spacing w:before="240" w:after="60"/>
      <w:outlineLvl w:val="3"/>
    </w:pPr>
    <w:rPr>
      <w:b/>
      <w:sz w:val="28"/>
      <w:szCs w:val="28"/>
    </w:rPr>
  </w:style>
  <w:style w:type="paragraph" w:styleId="Heading5">
    <w:name w:val="heading 5"/>
    <w:basedOn w:val="Normal"/>
    <w:next w:val="Normal"/>
    <w:qFormat/>
    <w:rsid w:val="003C110E"/>
    <w:pPr>
      <w:keepNext/>
      <w:spacing w:before="240" w:after="60"/>
      <w:ind w:firstLine="397"/>
      <w:outlineLvl w:val="4"/>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110E"/>
    <w:rPr>
      <w:color w:val="0000FF"/>
      <w:u w:val="single"/>
    </w:rPr>
  </w:style>
  <w:style w:type="paragraph" w:customStyle="1" w:styleId="Equation">
    <w:name w:val="Equation"/>
    <w:basedOn w:val="Normal"/>
    <w:next w:val="Normal"/>
    <w:rsid w:val="003C110E"/>
    <w:pPr>
      <w:tabs>
        <w:tab w:val="right" w:pos="9639"/>
      </w:tabs>
      <w:spacing w:line="240" w:lineRule="auto"/>
      <w:ind w:left="2268"/>
    </w:pPr>
  </w:style>
  <w:style w:type="paragraph" w:customStyle="1" w:styleId="NormalHanging">
    <w:name w:val="Normal Hanging"/>
    <w:basedOn w:val="Normal"/>
    <w:rsid w:val="003C110E"/>
    <w:pPr>
      <w:ind w:firstLine="720"/>
    </w:pPr>
  </w:style>
  <w:style w:type="paragraph" w:customStyle="1" w:styleId="NormalDCB">
    <w:name w:val="Normal DCB"/>
    <w:basedOn w:val="Normal"/>
    <w:rsid w:val="003C110E"/>
    <w:pPr>
      <w:spacing w:before="40" w:after="40" w:line="257" w:lineRule="auto"/>
      <w:ind w:firstLine="720"/>
    </w:pPr>
    <w:rPr>
      <w:rFonts w:ascii="Times" w:hAnsi="Times"/>
      <w:szCs w:val="23"/>
      <w:lang w:val="en-US"/>
    </w:rPr>
  </w:style>
  <w:style w:type="paragraph" w:customStyle="1" w:styleId="Experiment">
    <w:name w:val="Experiment"/>
    <w:basedOn w:val="Normal"/>
    <w:autoRedefine/>
    <w:rsid w:val="003C110E"/>
    <w:pPr>
      <w:keepNext/>
      <w:numPr>
        <w:ilvl w:val="1"/>
        <w:numId w:val="14"/>
      </w:numPr>
      <w:tabs>
        <w:tab w:val="clear" w:pos="1440"/>
      </w:tabs>
      <w:spacing w:before="240" w:line="316" w:lineRule="atLeast"/>
      <w:ind w:left="360"/>
    </w:pPr>
    <w:rPr>
      <w:rFonts w:ascii="Times" w:hAnsi="Times"/>
      <w:b/>
      <w:sz w:val="28"/>
      <w:szCs w:val="23"/>
      <w:lang w:val="en-US"/>
    </w:rPr>
  </w:style>
  <w:style w:type="character" w:styleId="PlaceholderText">
    <w:name w:val="Placeholder Text"/>
    <w:basedOn w:val="DefaultParagraphFont"/>
    <w:uiPriority w:val="99"/>
    <w:unhideWhenUsed/>
    <w:rsid w:val="0051654F"/>
    <w:rPr>
      <w:color w:val="808080"/>
    </w:rPr>
  </w:style>
  <w:style w:type="paragraph" w:styleId="FootnoteText">
    <w:name w:val="footnote text"/>
    <w:basedOn w:val="Normal"/>
    <w:link w:val="FootnoteTextChar"/>
    <w:uiPriority w:val="99"/>
    <w:semiHidden/>
    <w:unhideWhenUsed/>
    <w:rsid w:val="00FA3A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3AB4"/>
    <w:rPr>
      <w:lang w:val="en-GB" w:eastAsia="en-US"/>
    </w:rPr>
  </w:style>
  <w:style w:type="character" w:styleId="FootnoteReference">
    <w:name w:val="footnote reference"/>
    <w:basedOn w:val="DefaultParagraphFont"/>
    <w:uiPriority w:val="99"/>
    <w:semiHidden/>
    <w:unhideWhenUsed/>
    <w:rsid w:val="00FA3AB4"/>
    <w:rPr>
      <w:vertAlign w:val="superscript"/>
    </w:rPr>
  </w:style>
  <w:style w:type="paragraph" w:styleId="Caption">
    <w:name w:val="caption"/>
    <w:basedOn w:val="Normal"/>
    <w:next w:val="Normal"/>
    <w:uiPriority w:val="35"/>
    <w:unhideWhenUsed/>
    <w:qFormat/>
    <w:rsid w:val="00FA3AB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emf"/><Relationship Id="rId21" Type="http://schemas.openxmlformats.org/officeDocument/2006/relationships/oleObject" Target="embeddings/oleObject6.bin"/><Relationship Id="rId22" Type="http://schemas.openxmlformats.org/officeDocument/2006/relationships/image" Target="media/image8.emf"/><Relationship Id="rId23" Type="http://schemas.openxmlformats.org/officeDocument/2006/relationships/oleObject" Target="embeddings/oleObject7.bin"/><Relationship Id="rId24" Type="http://schemas.openxmlformats.org/officeDocument/2006/relationships/image" Target="media/image9.emf"/><Relationship Id="rId25" Type="http://schemas.openxmlformats.org/officeDocument/2006/relationships/image" Target="media/image10.emf"/><Relationship Id="rId26" Type="http://schemas.openxmlformats.org/officeDocument/2006/relationships/oleObject" Target="embeddings/oleObject8.bin"/><Relationship Id="rId27" Type="http://schemas.openxmlformats.org/officeDocument/2006/relationships/image" Target="media/image11.emf"/><Relationship Id="rId28" Type="http://schemas.openxmlformats.org/officeDocument/2006/relationships/oleObject" Target="embeddings/oleObject9.bin"/><Relationship Id="rId29" Type="http://schemas.openxmlformats.org/officeDocument/2006/relationships/image" Target="media/image12.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oleObject" Target="embeddings/oleObject10.bin"/><Relationship Id="rId31" Type="http://schemas.openxmlformats.org/officeDocument/2006/relationships/image" Target="media/image13.emf"/><Relationship Id="rId32" Type="http://schemas.openxmlformats.org/officeDocument/2006/relationships/oleObject" Target="embeddings/oleObject11.bin"/><Relationship Id="rId9" Type="http://schemas.openxmlformats.org/officeDocument/2006/relationships/image" Target="media/image1.emf"/><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sa/3.0/" TargetMode="External"/><Relationship Id="rId33" Type="http://schemas.openxmlformats.org/officeDocument/2006/relationships/image" Target="media/image14.emf"/><Relationship Id="rId34" Type="http://schemas.openxmlformats.org/officeDocument/2006/relationships/oleObject" Target="embeddings/oleObject12.bin"/><Relationship Id="rId35" Type="http://schemas.openxmlformats.org/officeDocument/2006/relationships/hyperlink" Target="http://www.ehs.utoronto.ca/resources.htm" TargetMode="External"/><Relationship Id="rId36" Type="http://schemas.openxmlformats.org/officeDocument/2006/relationships/hyperlink" Target="http://www.nist.gov/pml/div683/hall_resistivity.cfm" TargetMode="External"/><Relationship Id="rId10" Type="http://schemas.openxmlformats.org/officeDocument/2006/relationships/image" Target="media/image2.emf"/><Relationship Id="rId11" Type="http://schemas.openxmlformats.org/officeDocument/2006/relationships/oleObject" Target="embeddings/oleObject1.bin"/><Relationship Id="rId12" Type="http://schemas.openxmlformats.org/officeDocument/2006/relationships/image" Target="media/image3.emf"/><Relationship Id="rId13" Type="http://schemas.openxmlformats.org/officeDocument/2006/relationships/oleObject" Target="embeddings/oleObject2.bin"/><Relationship Id="rId14" Type="http://schemas.openxmlformats.org/officeDocument/2006/relationships/image" Target="media/image4.emf"/><Relationship Id="rId15" Type="http://schemas.openxmlformats.org/officeDocument/2006/relationships/oleObject" Target="embeddings/oleObject3.bin"/><Relationship Id="rId16" Type="http://schemas.openxmlformats.org/officeDocument/2006/relationships/image" Target="media/image5.emf"/><Relationship Id="rId17" Type="http://schemas.openxmlformats.org/officeDocument/2006/relationships/oleObject" Target="embeddings/oleObject4.bin"/><Relationship Id="rId18" Type="http://schemas.openxmlformats.org/officeDocument/2006/relationships/image" Target="media/image6.emf"/><Relationship Id="rId19" Type="http://schemas.openxmlformats.org/officeDocument/2006/relationships/oleObject" Target="embeddings/oleObject5.bin"/><Relationship Id="rId37" Type="http://schemas.openxmlformats.org/officeDocument/2006/relationships/image" Target="media/image15.png"/><Relationship Id="rId38" Type="http://schemas.openxmlformats.org/officeDocument/2006/relationships/hyperlink" Target="http://www.nist.gov/pml/div683/hall_resistivity.cfm" TargetMode="External"/><Relationship Id="rId39" Type="http://schemas.openxmlformats.org/officeDocument/2006/relationships/hyperlink" Target="http://www.nist.gov/pml/div683/hall_resistivity.cfm" TargetMode="External"/><Relationship Id="rId40" Type="http://schemas.openxmlformats.org/officeDocument/2006/relationships/footer" Target="footer1.xml"/><Relationship Id="rId41" Type="http://schemas.openxmlformats.org/officeDocument/2006/relationships/footer" Target="footer2.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F3EB7-B6C2-634B-947D-31A14D24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2344</Words>
  <Characters>13361</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ADVANCED UNDERGRADUATE LABORATORY</vt:lpstr>
    </vt:vector>
  </TitlesOfParts>
  <Company>University of Toronto</Company>
  <LinksUpToDate>false</LinksUpToDate>
  <CharactersWithSpaces>15674</CharactersWithSpaces>
  <SharedDoc>false</SharedDoc>
  <HLinks>
    <vt:vector size="36" baseType="variant">
      <vt:variant>
        <vt:i4>6619218</vt:i4>
      </vt:variant>
      <vt:variant>
        <vt:i4>51</vt:i4>
      </vt:variant>
      <vt:variant>
        <vt:i4>0</vt:i4>
      </vt:variant>
      <vt:variant>
        <vt:i4>5</vt:i4>
      </vt:variant>
      <vt:variant>
        <vt:lpwstr>http://www.nist.gov/pml/div683/hall_resistivity.cfm</vt:lpwstr>
      </vt:variant>
      <vt:variant>
        <vt:lpwstr>resistivity</vt:lpwstr>
      </vt:variant>
      <vt:variant>
        <vt:i4>1179684</vt:i4>
      </vt:variant>
      <vt:variant>
        <vt:i4>48</vt:i4>
      </vt:variant>
      <vt:variant>
        <vt:i4>0</vt:i4>
      </vt:variant>
      <vt:variant>
        <vt:i4>5</vt:i4>
      </vt:variant>
      <vt:variant>
        <vt:lpwstr>http://www.nist.gov/pml/div683/hall_resistivity.cfm</vt:lpwstr>
      </vt:variant>
      <vt:variant>
        <vt:lpwstr>hall</vt:lpwstr>
      </vt:variant>
      <vt:variant>
        <vt:i4>2031648</vt:i4>
      </vt:variant>
      <vt:variant>
        <vt:i4>45</vt:i4>
      </vt:variant>
      <vt:variant>
        <vt:i4>0</vt:i4>
      </vt:variant>
      <vt:variant>
        <vt:i4>5</vt:i4>
      </vt:variant>
      <vt:variant>
        <vt:lpwstr>http://www.nist.gov/pml/div683/hall_resistivity.cfm</vt:lpwstr>
      </vt:variant>
      <vt:variant>
        <vt:lpwstr/>
      </vt:variant>
      <vt:variant>
        <vt:i4>1179674</vt:i4>
      </vt:variant>
      <vt:variant>
        <vt:i4>42</vt:i4>
      </vt:variant>
      <vt:variant>
        <vt:i4>0</vt:i4>
      </vt:variant>
      <vt:variant>
        <vt:i4>5</vt:i4>
      </vt:variant>
      <vt:variant>
        <vt:lpwstr>http://www.ehs.utoronto.ca/resources.htm</vt:lpwstr>
      </vt:variant>
      <vt:variant>
        <vt:lpwstr/>
      </vt:variant>
      <vt:variant>
        <vt:i4>4587611</vt:i4>
      </vt:variant>
      <vt:variant>
        <vt:i4>3</vt:i4>
      </vt:variant>
      <vt:variant>
        <vt:i4>0</vt:i4>
      </vt:variant>
      <vt:variant>
        <vt:i4>5</vt:i4>
      </vt:variant>
      <vt:variant>
        <vt:lpwstr>http://creativecommons.org/licenses/by-nc-sa/3.0/</vt:lpwstr>
      </vt:variant>
      <vt:variant>
        <vt:lpwstr/>
      </vt:variant>
      <vt:variant>
        <vt:i4>4587611</vt:i4>
      </vt:variant>
      <vt:variant>
        <vt:i4>0</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UNDERGRADUATE LABORATORY</dc:title>
  <dc:subject/>
  <dc:creator>Henry van Driel</dc:creator>
  <cp:keywords/>
  <cp:lastModifiedBy>David Bailey</cp:lastModifiedBy>
  <cp:revision>3</cp:revision>
  <cp:lastPrinted>2011-11-29T18:41:00Z</cp:lastPrinted>
  <dcterms:created xsi:type="dcterms:W3CDTF">2018-01-05T21:09:00Z</dcterms:created>
  <dcterms:modified xsi:type="dcterms:W3CDTF">2018-01-05T21:58:00Z</dcterms:modified>
</cp:coreProperties>
</file>